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E1A682" w14:textId="42374549" w:rsidR="004D76B6" w:rsidRPr="00845834" w:rsidRDefault="00823DE8" w:rsidP="00845834">
      <w:pPr>
        <w:rPr>
          <w:rFonts w:ascii="Century Gothic" w:hAnsi="Century Gothic" w:cs="Arial"/>
          <w:b/>
          <w:bCs/>
          <w:color w:val="595959"/>
          <w:sz w:val="48"/>
          <w:szCs w:val="48"/>
        </w:rPr>
      </w:pPr>
      <w:bookmarkStart w:id="0" w:name="_Hlk66098118"/>
      <w:r w:rsidRPr="00DA69D7">
        <w:rPr>
          <w:rFonts w:ascii="Century Gothic" w:hAnsi="Century Gothic" w:cs="Arial"/>
          <w:b/>
          <w:bCs/>
          <w:color w:val="595959"/>
          <w:sz w:val="48"/>
          <w:szCs w:val="48"/>
        </w:rPr>
        <w:t>Curriculum prioritisation in primary maths 2020/21</w:t>
      </w:r>
      <w:r w:rsidR="00845834">
        <w:rPr>
          <w:rFonts w:ascii="Century Gothic" w:hAnsi="Century Gothic" w:cs="Arial"/>
          <w:b/>
          <w:bCs/>
          <w:color w:val="595959"/>
          <w:sz w:val="48"/>
          <w:szCs w:val="48"/>
        </w:rPr>
        <w:br/>
      </w:r>
      <w:r w:rsidR="00845834" w:rsidRPr="002E1235">
        <w:rPr>
          <w:rFonts w:ascii="Arial" w:hAnsi="Arial" w:cs="Arial"/>
          <w:color w:val="347574"/>
          <w:sz w:val="32"/>
          <w:szCs w:val="32"/>
        </w:rPr>
        <w:t xml:space="preserve">Evaluation document: Current Year </w:t>
      </w:r>
      <w:r>
        <w:rPr>
          <w:rFonts w:ascii="Arial" w:hAnsi="Arial" w:cs="Arial"/>
          <w:color w:val="347574"/>
          <w:sz w:val="32"/>
          <w:szCs w:val="32"/>
        </w:rPr>
        <w:t>3</w:t>
      </w:r>
      <w:r w:rsidR="00845834" w:rsidRPr="002E1235">
        <w:rPr>
          <w:rFonts w:ascii="Arial" w:hAnsi="Arial" w:cs="Arial"/>
          <w:color w:val="347574"/>
          <w:sz w:val="32"/>
          <w:szCs w:val="32"/>
        </w:rPr>
        <w:t xml:space="preserve"> pupils</w:t>
      </w:r>
    </w:p>
    <w:p w14:paraId="2CBD8C5D" w14:textId="77777777" w:rsidR="004D76B6" w:rsidRPr="00845834" w:rsidRDefault="004D76B6" w:rsidP="00320C6B">
      <w:p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 xml:space="preserve">Using the *2020 DfE guidance ready-to-progress criteria, listed in the table below, identify aspects that have: </w:t>
      </w:r>
    </w:p>
    <w:p w14:paraId="7EBE9C08" w14:textId="77777777" w:rsidR="004D76B6" w:rsidRPr="00845834" w:rsidRDefault="004D76B6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>been taught in school to children by the class teacher</w:t>
      </w:r>
    </w:p>
    <w:p w14:paraId="7174CD59" w14:textId="77777777" w:rsidR="004D76B6" w:rsidRPr="00845834" w:rsidRDefault="004D76B6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>been taught remotely, or by someone who does not know the children as well</w:t>
      </w:r>
    </w:p>
    <w:p w14:paraId="28F6C5A5" w14:textId="77777777" w:rsidR="004D76B6" w:rsidRPr="00845834" w:rsidRDefault="004D76B6" w:rsidP="00320C6B">
      <w:pPr>
        <w:pStyle w:val="ListParagraph"/>
        <w:numPr>
          <w:ilvl w:val="0"/>
          <w:numId w:val="2"/>
        </w:num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>not been taught at all.</w:t>
      </w:r>
    </w:p>
    <w:p w14:paraId="1E091D97" w14:textId="77777777" w:rsidR="004D76B6" w:rsidRPr="00845834" w:rsidRDefault="004D76B6" w:rsidP="00320C6B">
      <w:p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 xml:space="preserve">Reflect on how effectively pupils have learnt, remembered and are able to apply what has been taught. Where you are unsure, you should note this down. </w:t>
      </w:r>
    </w:p>
    <w:p w14:paraId="5EC0EABE" w14:textId="77777777" w:rsidR="004D76B6" w:rsidRPr="00845834" w:rsidRDefault="004D76B6" w:rsidP="004D76B6">
      <w:pPr>
        <w:rPr>
          <w:rFonts w:ascii="Arial" w:hAnsi="Arial" w:cs="Arial"/>
          <w:color w:val="595959"/>
        </w:rPr>
      </w:pPr>
      <w:r w:rsidRPr="00845834">
        <w:rPr>
          <w:rFonts w:ascii="Arial" w:hAnsi="Arial" w:cs="Arial"/>
          <w:color w:val="595959"/>
        </w:rPr>
        <w:t xml:space="preserve">From these reflections, prioritise criteria for teaching and learning and use the </w:t>
      </w:r>
      <w:r w:rsidRPr="00845834">
        <w:rPr>
          <w:rFonts w:ascii="Arial" w:hAnsi="Arial" w:cs="Arial"/>
          <w:b/>
          <w:bCs/>
          <w:color w:val="595959"/>
        </w:rPr>
        <w:t xml:space="preserve">Curriculum planning grid </w:t>
      </w:r>
      <w:r w:rsidRPr="00845834">
        <w:rPr>
          <w:rFonts w:ascii="Arial" w:hAnsi="Arial" w:cs="Arial"/>
          <w:color w:val="595959"/>
        </w:rPr>
        <w:t xml:space="preserve">to plan your curriculum for the remainder of this academic year. This evaluation, used continuously over the rest of the year, will also be a useful transition document for the next class teacher. </w:t>
      </w:r>
    </w:p>
    <w:bookmarkEnd w:id="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5"/>
        <w:gridCol w:w="282"/>
        <w:gridCol w:w="2393"/>
        <w:gridCol w:w="2414"/>
        <w:gridCol w:w="2479"/>
        <w:gridCol w:w="283"/>
        <w:gridCol w:w="2374"/>
        <w:gridCol w:w="2376"/>
        <w:gridCol w:w="2352"/>
      </w:tblGrid>
      <w:tr w:rsidR="00845834" w14:paraId="2D724F3B" w14:textId="77777777" w:rsidTr="0092508E"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4343FDA" w14:textId="77777777" w:rsidR="00003603" w:rsidRPr="00845834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825FCA" w14:textId="77777777" w:rsidR="00003603" w:rsidRPr="00845834" w:rsidRDefault="00003603" w:rsidP="00AD5679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BA1C12A" w14:textId="19FF986B" w:rsidR="00003603" w:rsidRPr="00845834" w:rsidRDefault="00892D0B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ED1B03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77C60F8" w14:textId="4A1A9EA4" w:rsidR="00003603" w:rsidRPr="00845834" w:rsidRDefault="004D76B6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A0D58C" w14:textId="7D86F099" w:rsidR="00003603" w:rsidRPr="00845834" w:rsidRDefault="00892D0B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B17EA8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2D3253" w14:textId="77777777" w:rsidR="00003603" w:rsidRPr="00845834" w:rsidRDefault="00003603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2F08B84" w14:textId="2C0789E9" w:rsidR="00003603" w:rsidRPr="00845834" w:rsidRDefault="00892D0B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Year </w:t>
            </w:r>
            <w:r w:rsidR="00ED1B03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3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 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eady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to</w:t>
            </w:r>
            <w:r w:rsidR="000B4711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-p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rogress criteria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1254056" w14:textId="3AC874A7" w:rsidR="00003603" w:rsidRPr="00845834" w:rsidRDefault="004D76B6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Notes on provision, and priority for teaching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D2206F9" w14:textId="38427614" w:rsidR="00003603" w:rsidRPr="00845834" w:rsidRDefault="00892D0B" w:rsidP="00AD5679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 xml:space="preserve">July </w:t>
            </w:r>
            <w:r w:rsidR="00B17EA8"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20</w:t>
            </w: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21 update: transition notes for new teacher</w:t>
            </w:r>
          </w:p>
        </w:tc>
      </w:tr>
      <w:tr w:rsidR="00845834" w14:paraId="3332BA98" w14:textId="77777777" w:rsidTr="0092508E">
        <w:trPr>
          <w:trHeight w:val="1081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15565CEF" w14:textId="77777777" w:rsidR="00ED1B03" w:rsidRPr="00845834" w:rsidRDefault="00892D0B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and Place Value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37EFC7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5F66C8C" w14:textId="77777777" w:rsidR="00ED1B03" w:rsidRPr="00845834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2NPV–1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Recognise the</w:t>
            </w:r>
          </w:p>
          <w:p w14:paraId="69AF2D18" w14:textId="77777777" w:rsidR="00ED1B03" w:rsidRPr="00845834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place value of each digit</w:t>
            </w:r>
          </w:p>
          <w:p w14:paraId="0061E3B0" w14:textId="77777777" w:rsidR="00ED1B03" w:rsidRPr="00845834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in two-digit numbers, and</w:t>
            </w:r>
          </w:p>
          <w:p w14:paraId="466894FA" w14:textId="77777777" w:rsidR="00ED1B03" w:rsidRPr="00845834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compose and decompose</w:t>
            </w:r>
          </w:p>
          <w:p w14:paraId="352823F2" w14:textId="77777777" w:rsidR="00ED1B03" w:rsidRPr="00845834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two-digit numbers using</w:t>
            </w:r>
          </w:p>
          <w:p w14:paraId="5FF7DD12" w14:textId="2F1589AC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standard and non</w:t>
            </w:r>
            <w:r w:rsidR="004F2E9E" w:rsidRPr="00845834">
              <w:rPr>
                <w:rFonts w:cstheme="minorHAnsi"/>
                <w:color w:val="595959"/>
                <w:sz w:val="18"/>
                <w:szCs w:val="18"/>
              </w:rPr>
              <w:t>-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standard partitioning.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2E8D36E" w14:textId="34C2A82D" w:rsidR="00ED1B03" w:rsidRPr="002E1235" w:rsidRDefault="002E1235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  <w:bookmarkEnd w:id="1"/>
          </w:p>
          <w:p w14:paraId="7903FF45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2964F1E1" w14:textId="77777777" w:rsidR="00ED1B03" w:rsidRPr="00845834" w:rsidRDefault="00ED1B03" w:rsidP="00ED1B03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0A0094D" w14:textId="62FAE91A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918A2B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86E5A22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3NPV–1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Know that 10 tens are equivalent to 1 hundred, and that 100 is 10 times the size of 10; apply this to identify and work out how many 10s there are in other three-digit multiples of 10.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18534E0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2A2019FE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739F59C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EDC81FD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89D71EF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42925C9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471132EF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C847AE9" w14:textId="299B54CE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16BE4BB" w14:textId="39F18628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58B989AD" w14:textId="77777777" w:rsidTr="0092508E">
        <w:trPr>
          <w:trHeight w:val="108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3C2D18D5" w14:textId="77777777" w:rsidR="00ED1B03" w:rsidRPr="00845834" w:rsidRDefault="00ED1B03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1E8563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2EFF0EC" w14:textId="77777777" w:rsidR="0029194A" w:rsidRPr="00845834" w:rsidRDefault="00892D0B" w:rsidP="0029194A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2NPV–2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Reason about</w:t>
            </w:r>
          </w:p>
          <w:p w14:paraId="19FA4BED" w14:textId="77777777" w:rsidR="0029194A" w:rsidRPr="00845834" w:rsidRDefault="00892D0B" w:rsidP="0029194A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the location of any two-digit number in the linear</w:t>
            </w:r>
          </w:p>
          <w:p w14:paraId="323F93CC" w14:textId="77777777" w:rsidR="0029194A" w:rsidRPr="00845834" w:rsidRDefault="00892D0B" w:rsidP="0029194A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number system, including</w:t>
            </w:r>
          </w:p>
          <w:p w14:paraId="4C15C4A3" w14:textId="77777777" w:rsidR="0029194A" w:rsidRPr="00845834" w:rsidRDefault="00892D0B" w:rsidP="0029194A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identifying the previous</w:t>
            </w:r>
          </w:p>
          <w:p w14:paraId="7A257EA6" w14:textId="77777777" w:rsidR="00ED1B03" w:rsidRPr="00845834" w:rsidRDefault="00892D0B" w:rsidP="0029194A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color w:val="595959"/>
                <w:sz w:val="18"/>
                <w:szCs w:val="18"/>
              </w:rPr>
              <w:t>and next multiple of 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B78938E" w14:textId="6B4DE7FA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BC15BC5" w14:textId="54E4DF0D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A5C59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0E59C9F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3NPV–2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 xml:space="preserve">Recognise the place value of each digit in three-digit </w:t>
            </w:r>
            <w:r w:rsidR="00EA236E" w:rsidRPr="00845834">
              <w:rPr>
                <w:rFonts w:cstheme="minorHAnsi"/>
                <w:color w:val="595959"/>
                <w:sz w:val="18"/>
                <w:szCs w:val="18"/>
              </w:rPr>
              <w:t>numbers and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 xml:space="preserve"> compose and decompose three-digit numbers using standard and non-standard partitioning.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3B654E1" w14:textId="01B479A3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4E322C4" w14:textId="03AB122C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756A6CF2" w14:textId="77777777" w:rsidTr="0092508E">
        <w:trPr>
          <w:trHeight w:val="108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60E38ED5" w14:textId="77777777" w:rsidR="0029194A" w:rsidRPr="00845834" w:rsidRDefault="0029194A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EB6B2E" w14:textId="77777777" w:rsidR="0029194A" w:rsidRPr="00845834" w:rsidRDefault="0029194A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67B8979" w14:textId="77777777" w:rsidR="0029194A" w:rsidRPr="00845834" w:rsidRDefault="0029194A" w:rsidP="0029194A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C559E8D" w14:textId="77777777" w:rsidR="0029194A" w:rsidRPr="00845834" w:rsidRDefault="0029194A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BB07EE2" w14:textId="77777777" w:rsidR="0029194A" w:rsidRPr="00845834" w:rsidRDefault="0029194A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83FDDF" w14:textId="77777777" w:rsidR="0029194A" w:rsidRDefault="0029194A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11A25961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DE704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DD12AB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7E9C6E" w14:textId="77777777" w:rsidR="00BE4F66" w:rsidRDefault="00BE4F66" w:rsidP="00BE4F6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0A9037F6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1FB23F" w14:textId="77777777" w:rsidR="00BE4F66" w:rsidRDefault="00BE4F66" w:rsidP="00BE4F6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500C31F4" w14:textId="77777777" w:rsidR="00BE4F66" w:rsidRDefault="00BE4F66" w:rsidP="00BE4F66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2D008117" w14:textId="6F05E41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39131B7" w14:textId="77777777" w:rsidR="0029194A" w:rsidRDefault="00892D0B" w:rsidP="00ED1B03">
            <w:pPr>
              <w:rPr>
                <w:rFonts w:cstheme="minorHAnsi"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3NPV–3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Reason about the location of any three-digit number in the linear number system, including identifying the previous and next multiple of 100 and 10.</w:t>
            </w:r>
          </w:p>
          <w:p w14:paraId="1E3CFA21" w14:textId="77777777" w:rsidR="006A604E" w:rsidRPr="006A604E" w:rsidRDefault="006A604E" w:rsidP="006A604E">
            <w:pPr>
              <w:rPr>
                <w:rFonts w:cstheme="minorHAnsi"/>
                <w:sz w:val="18"/>
                <w:szCs w:val="18"/>
              </w:rPr>
            </w:pPr>
          </w:p>
          <w:p w14:paraId="076512CB" w14:textId="142D059C" w:rsidR="006A604E" w:rsidRPr="006A604E" w:rsidRDefault="006A604E" w:rsidP="006A604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B8EBB81" w14:textId="26C952D0" w:rsidR="0029194A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DBC21D3" w14:textId="147ACC1C" w:rsidR="0029194A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422F9278" w14:textId="77777777" w:rsidTr="0092508E">
        <w:trPr>
          <w:trHeight w:val="734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EE28331" w14:textId="77777777" w:rsidR="00ED1B03" w:rsidRPr="00845834" w:rsidRDefault="00ED1B03" w:rsidP="00ED1B0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CFAB45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3EA3FF3" w14:textId="77777777" w:rsidR="00ED1B03" w:rsidRPr="00845834" w:rsidRDefault="00ED1B03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CA40481" w14:textId="77777777" w:rsidR="00ED1B03" w:rsidRPr="00845834" w:rsidRDefault="00ED1B03" w:rsidP="00ED1B03">
            <w:pPr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B4D7751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E74FF1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A90A3B6" w14:textId="63D0E633" w:rsidR="00BF2AD4" w:rsidRPr="00845834" w:rsidRDefault="00892D0B" w:rsidP="0092508E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3NPV–4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Divide 100 into 2, 4, 5 and 10 equal parts, and read scales/number lines marked in multiples of 100 with 2, 4, 5 and 10 equal parts.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DC4E6AB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4B0A3BD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9E61432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7E741B5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499ACF72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9E57500" w14:textId="7DD0AD71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2C672D0" w14:textId="77777777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0AFFAE54" w14:textId="77777777" w:rsidTr="0092508E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3612D7A4" w14:textId="77777777" w:rsidR="00ED1B03" w:rsidRPr="00845834" w:rsidRDefault="00892D0B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Number Facts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E78473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BD0E966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2NF–1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Secure fluency in addition and subtraction facts within 10, through continued practice.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896BBAF" w14:textId="6362F7B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AAE2F2" w14:textId="66C50E8D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D1247F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171FA05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3NF–1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Secure fluency in addition and subtraction facts that bridge 10, through continued practice.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C918296" w14:textId="30CC1B7A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54B7622" w14:textId="2146F283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5649B7F4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0DCF73EE" w14:textId="77777777" w:rsidR="00C95F75" w:rsidRPr="00845834" w:rsidRDefault="00C95F75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9F39C4" w14:textId="77777777" w:rsidR="00C95F75" w:rsidRPr="00845834" w:rsidRDefault="00C95F75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977F8E7" w14:textId="77777777" w:rsidR="00C95F75" w:rsidRPr="00845834" w:rsidRDefault="00C95F75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A94BAEB" w14:textId="77777777" w:rsidR="00C95F75" w:rsidRPr="00845834" w:rsidRDefault="00C95F75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6D38CBC" w14:textId="77777777" w:rsidR="00C95F75" w:rsidRPr="00845834" w:rsidRDefault="00C95F75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AC715" w14:textId="77777777" w:rsidR="00C95F75" w:rsidRPr="00845834" w:rsidRDefault="00C95F75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A447914" w14:textId="77777777" w:rsidR="00C95F75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3NF–2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Recall multiplication facts, and corresponding division facts, in the 10, 5, 2, 4 and 8 multiplication tables, and recognise products in these multiplication tables as multiples of the corresponding number.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FE59EE5" w14:textId="39D2413D" w:rsidR="00C95F75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70DC4F5" w14:textId="521D9D19" w:rsidR="00C95F75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387E4260" w14:textId="77777777" w:rsidTr="0092508E">
        <w:trPr>
          <w:trHeight w:val="463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522FA62" w14:textId="77777777" w:rsidR="00ED1B03" w:rsidRPr="00845834" w:rsidRDefault="00ED1B03" w:rsidP="00ED1B0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EC6D47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E28F0F1" w14:textId="77777777" w:rsidR="00ED1B03" w:rsidRPr="00845834" w:rsidRDefault="00ED1B03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3B03794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A50DD10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3DA6C6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733CC5A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3NF–3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Apply place-value knowledge to known additive and multiplicative number facts (scaling facts by 10).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9336B0B" w14:textId="5F35D4D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49E5060" w14:textId="2F320847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2A88CC41" w14:textId="77777777" w:rsidTr="0092508E">
        <w:trPr>
          <w:trHeight w:val="452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5EC52BFF" w14:textId="77777777" w:rsidR="00ED1B03" w:rsidRPr="00845834" w:rsidRDefault="00892D0B" w:rsidP="00226A4E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Addition and Subtraction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35CEA5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4457732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Add and subtract across 10.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7FA782E" w14:textId="55209D0D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EE14D55" w14:textId="3BEC2F92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60A0CE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A05BA1B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3AS–1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Calculate complements to 100.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E1D5A48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7337C50A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8C16B49" w14:textId="771D6A39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F3DA250" w14:textId="65C7C562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1CFD05D4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5D109062" w14:textId="77777777" w:rsidR="00ED1B03" w:rsidRPr="00845834" w:rsidRDefault="00ED1B03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7FF756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B40821F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2AS–2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Recognise the subtraction structure of ‘difference’ and answer questions of the form, “How many more…?”.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4CCBDFA" w14:textId="6EE9CE4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DA0C3B6" w14:textId="1A9A61C4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0F72E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D978649" w14:textId="77777777" w:rsidR="00ED1B03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3AS–2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Add and subtract up to three-digit numbers using columnar methods.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0791E9" w14:textId="2FA5611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27566FE" w14:textId="768979E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69E6999D" w14:textId="77777777" w:rsidTr="0092508E">
        <w:trPr>
          <w:trHeight w:val="1301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31D54AB1" w14:textId="77777777" w:rsidR="00226A4E" w:rsidRPr="00845834" w:rsidRDefault="00226A4E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9F3660" w14:textId="77777777" w:rsidR="00226A4E" w:rsidRPr="00845834" w:rsidRDefault="00226A4E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CF5E50E" w14:textId="77777777" w:rsidR="00226A4E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2AS–3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>Add and subtract within 100 by applying related one-digit addition and subtraction facts: add and subtract only ones or only tens to/from a two-digit number.</w:t>
            </w:r>
          </w:p>
          <w:p w14:paraId="20611E4F" w14:textId="77777777" w:rsidR="00226A4E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2AS–4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 xml:space="preserve">Add and subtract within 100 by applying related one-digit addition and subtraction facts: add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lastRenderedPageBreak/>
              <w:t>and subtract any 2 two-digit numbers.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8D47678" w14:textId="13158921" w:rsidR="00226A4E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4659F9" w14:textId="77777777" w:rsidR="00226A4E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D0B5D74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288FFA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B92A1C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FE0DB7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FBA9D8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F18D289" w14:textId="77777777" w:rsidR="00BE4F66" w:rsidRDefault="00BE4F66" w:rsidP="00BE4F66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5F21430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DC9143" w14:textId="77777777" w:rsidR="00BE4F66" w:rsidRPr="00BE4F66" w:rsidRDefault="00BE4F66" w:rsidP="00BE4F6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830E61" w14:textId="77777777" w:rsidR="00BE4F66" w:rsidRDefault="00BE4F66" w:rsidP="00BE4F66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5FE06043" w14:textId="77777777" w:rsidR="00BE4F66" w:rsidRDefault="00BE4F66" w:rsidP="00BE4F66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19D1B529" w14:textId="3CCB5749" w:rsidR="00BE4F66" w:rsidRPr="00BE4F66" w:rsidRDefault="00BE4F66" w:rsidP="00BE4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1F9806" w14:textId="77777777" w:rsidR="00226A4E" w:rsidRPr="00845834" w:rsidRDefault="00226A4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017E583" w14:textId="77777777" w:rsidR="00226A4E" w:rsidRPr="00845834" w:rsidRDefault="00892D0B" w:rsidP="00ED1B03">
            <w:pPr>
              <w:rPr>
                <w:rFonts w:cstheme="minorHAnsi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cstheme="minorHAnsi"/>
                <w:b/>
                <w:bCs/>
                <w:color w:val="595959"/>
                <w:sz w:val="18"/>
                <w:szCs w:val="18"/>
              </w:rPr>
              <w:t xml:space="preserve">3AS–3 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 xml:space="preserve">Manipulate the additive relationship: Understand the inverse relationship between addition and subtraction, and how both relate to the part–part–whole structure. Understand and use the commutative property of </w:t>
            </w:r>
            <w:r w:rsidR="00EA236E" w:rsidRPr="00845834">
              <w:rPr>
                <w:rFonts w:cstheme="minorHAnsi"/>
                <w:color w:val="595959"/>
                <w:sz w:val="18"/>
                <w:szCs w:val="18"/>
              </w:rPr>
              <w:t>addition and</w:t>
            </w:r>
            <w:r w:rsidRPr="00845834">
              <w:rPr>
                <w:rFonts w:cstheme="minorHAnsi"/>
                <w:color w:val="595959"/>
                <w:sz w:val="18"/>
                <w:szCs w:val="18"/>
              </w:rPr>
              <w:t xml:space="preserve"> understand the related property for subtraction.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27A23EC" w14:textId="77777777" w:rsidR="00226A4E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B45F4D7" w14:textId="77777777" w:rsidR="0092508E" w:rsidRPr="0092508E" w:rsidRDefault="0092508E" w:rsidP="0092508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E4B990" w14:textId="77777777" w:rsidR="0092508E" w:rsidRDefault="0092508E" w:rsidP="0092508E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13F6A4AB" w14:textId="77777777" w:rsidR="0092508E" w:rsidRDefault="0092508E" w:rsidP="0092508E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46A41B32" w14:textId="77777777" w:rsidR="0092508E" w:rsidRDefault="0092508E" w:rsidP="0092508E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FCCA96F" w14:textId="7817DDC7" w:rsidR="0092508E" w:rsidRPr="0092508E" w:rsidRDefault="0092508E" w:rsidP="009250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8CCECE" w14:textId="41218D47" w:rsidR="00226A4E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58CC49FF" w14:textId="77777777" w:rsidTr="0092508E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4EA001A3" w14:textId="77777777" w:rsidR="00ED1B03" w:rsidRPr="00845834" w:rsidRDefault="00892D0B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Multiplication and Division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6BAFBE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D41EA96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2MD–1 </w:t>
            </w:r>
            <w:r w:rsidRPr="00845834">
              <w:rPr>
                <w:color w:val="595959"/>
                <w:sz w:val="18"/>
                <w:szCs w:val="18"/>
              </w:rPr>
              <w:t>Recognise repeated addition contexts, representing them with multiplication equations and calculating the product, within the 2, 5 and 10 multiplication tables.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4D138F7" w14:textId="3F35A446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982FF3F" w14:textId="07EBF636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86F178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0EA83C7" w14:textId="31C244EA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3MD–1 </w:t>
            </w:r>
            <w:r w:rsidRPr="00845834">
              <w:rPr>
                <w:color w:val="595959"/>
                <w:sz w:val="18"/>
                <w:szCs w:val="18"/>
              </w:rPr>
              <w:t xml:space="preserve">Apply known multiplication and division facts to solve contextual problems with different structures, including </w:t>
            </w:r>
            <w:r w:rsidR="0092508E" w:rsidRPr="00845834">
              <w:rPr>
                <w:color w:val="595959"/>
                <w:sz w:val="18"/>
                <w:szCs w:val="18"/>
              </w:rPr>
              <w:t>quotative</w:t>
            </w:r>
            <w:r w:rsidRPr="00845834">
              <w:rPr>
                <w:color w:val="595959"/>
                <w:sz w:val="18"/>
                <w:szCs w:val="18"/>
              </w:rPr>
              <w:t xml:space="preserve"> and partitive division.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886DC2D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CE65B94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291F75D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628E1D3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D20D179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A32243A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896299D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FCE3473" w14:textId="20A4AD39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4BEDA5E" w14:textId="00659B17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6D164240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303FB399" w14:textId="77777777" w:rsidR="00ED1B03" w:rsidRPr="00845834" w:rsidRDefault="00ED1B03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D9C702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86CEAFD" w14:textId="77777777" w:rsidR="00ED1B03" w:rsidRDefault="00892D0B" w:rsidP="00ED1B03">
            <w:pPr>
              <w:rPr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>2MD–2</w:t>
            </w:r>
            <w:r w:rsidRPr="00845834">
              <w:rPr>
                <w:color w:val="595959"/>
                <w:sz w:val="18"/>
                <w:szCs w:val="18"/>
              </w:rPr>
              <w:t xml:space="preserve"> Relate grouping problems where the number of groups is unknown to multiplication equations with a missing factor, and to division equations (</w:t>
            </w:r>
            <w:r w:rsidR="0092508E" w:rsidRPr="00845834">
              <w:rPr>
                <w:color w:val="595959"/>
                <w:sz w:val="18"/>
                <w:szCs w:val="18"/>
              </w:rPr>
              <w:t>quotative</w:t>
            </w:r>
            <w:r w:rsidRPr="00845834">
              <w:rPr>
                <w:color w:val="595959"/>
                <w:sz w:val="18"/>
                <w:szCs w:val="18"/>
              </w:rPr>
              <w:t xml:space="preserve"> division).</w:t>
            </w:r>
          </w:p>
          <w:p w14:paraId="3BB443B6" w14:textId="4AA148A6" w:rsidR="0092508E" w:rsidRPr="00845834" w:rsidRDefault="0092508E" w:rsidP="00ED1B0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D966880" w14:textId="1175E3C5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E339FA2" w14:textId="72AFBB0E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7FFF56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2737F41" w14:textId="77777777" w:rsidR="00ED1B03" w:rsidRPr="00845834" w:rsidRDefault="00ED1B03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3E5A194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B7470BF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</w:tr>
      <w:tr w:rsidR="00845834" w14:paraId="758313F2" w14:textId="77777777" w:rsidTr="0092508E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09F87CA0" w14:textId="77777777" w:rsidR="00ED1B03" w:rsidRPr="00845834" w:rsidRDefault="00892D0B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Fractions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D1C4D8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6794738" w14:textId="77777777" w:rsidR="00ED1B03" w:rsidRPr="00845834" w:rsidRDefault="00ED1B03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5AE0463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FEB2A05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B7FCC6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C69148B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3F–1 </w:t>
            </w:r>
            <w:r w:rsidRPr="00845834">
              <w:rPr>
                <w:color w:val="595959"/>
                <w:sz w:val="18"/>
                <w:szCs w:val="18"/>
              </w:rPr>
              <w:t>Interpret and write proper fractions to represent 1 or several parts of a whole that is divided into equal parts.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33B224A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C39B876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2CB284C1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9203B03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5B540567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2645DF75" w14:textId="348487A1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19A3F81" w14:textId="7861B283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087E1AC2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0A1342F" w14:textId="77777777" w:rsidR="00ED1B03" w:rsidRPr="00845834" w:rsidRDefault="00ED1B03" w:rsidP="00ED1B0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5BBFED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1DE9A32" w14:textId="77777777" w:rsidR="00ED1B03" w:rsidRPr="00845834" w:rsidRDefault="00ED1B03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3CE6BBA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1075FEA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F76754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843DAC1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3F–2 </w:t>
            </w:r>
            <w:r w:rsidRPr="00845834">
              <w:rPr>
                <w:color w:val="595959"/>
                <w:sz w:val="18"/>
                <w:szCs w:val="18"/>
              </w:rPr>
              <w:t>Find unit fractions of quantities using known division facts (multiplication tables fluency).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EAE29B8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39324BA5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0B148D9B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0F1E40C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E2C04C4" w14:textId="2E893639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9BFA733" w14:textId="3D1989D0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05FA8791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8D54609" w14:textId="77777777" w:rsidR="00ED1B03" w:rsidRPr="00845834" w:rsidRDefault="00ED1B03" w:rsidP="00ED1B0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ECC4FF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E4E62E6" w14:textId="77777777" w:rsidR="00ED1B03" w:rsidRPr="00845834" w:rsidRDefault="00ED1B03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034D97C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6885246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C91462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752B86A" w14:textId="77777777" w:rsidR="00ED1B03" w:rsidRDefault="00892D0B" w:rsidP="00ED1B03">
            <w:pPr>
              <w:rPr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3F–3 </w:t>
            </w:r>
            <w:r w:rsidRPr="00845834">
              <w:rPr>
                <w:color w:val="595959"/>
                <w:sz w:val="18"/>
                <w:szCs w:val="18"/>
              </w:rPr>
              <w:t>Reason about the location of any fraction within 1 in the linear number system.</w:t>
            </w:r>
          </w:p>
          <w:p w14:paraId="22F203DC" w14:textId="77777777" w:rsidR="00BE4F66" w:rsidRDefault="00BE4F66" w:rsidP="00ED1B03">
            <w:pPr>
              <w:rPr>
                <w:color w:val="595959"/>
                <w:sz w:val="18"/>
                <w:szCs w:val="18"/>
              </w:rPr>
            </w:pPr>
          </w:p>
          <w:p w14:paraId="1C95661D" w14:textId="77777777" w:rsidR="00BE4F66" w:rsidRDefault="00BE4F66" w:rsidP="00ED1B03">
            <w:pPr>
              <w:rPr>
                <w:color w:val="595959"/>
                <w:sz w:val="18"/>
                <w:szCs w:val="18"/>
              </w:rPr>
            </w:pPr>
          </w:p>
          <w:p w14:paraId="0B1FBBFC" w14:textId="398ACADD" w:rsidR="00BE4F66" w:rsidRPr="00845834" w:rsidRDefault="00BE4F66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03B8F4B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2B84FE3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88BF2F1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9FFFE20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5B7B77DB" w14:textId="5BF3FB63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AB1E713" w14:textId="0B465766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21BEDB07" w14:textId="77777777" w:rsidTr="0092508E">
        <w:trPr>
          <w:trHeight w:val="377"/>
        </w:trPr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72F79F9" w14:textId="77777777" w:rsidR="00ED1B03" w:rsidRPr="00845834" w:rsidRDefault="00ED1B03" w:rsidP="00ED1B03">
            <w:pPr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673D6A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AAC045E" w14:textId="77777777" w:rsidR="00ED1B03" w:rsidRPr="00845834" w:rsidRDefault="00ED1B03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430638A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F67735C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C15C2C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AF9F653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3F–4 </w:t>
            </w:r>
            <w:r w:rsidRPr="00845834">
              <w:rPr>
                <w:color w:val="595959"/>
                <w:sz w:val="18"/>
                <w:szCs w:val="18"/>
              </w:rPr>
              <w:t>Add and subtract fractions with the same denominator, within 1.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2E20217" w14:textId="77777777" w:rsidR="00ED1B03" w:rsidRDefault="00AD260F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46C58E64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1BBEEAEE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D573C06" w14:textId="77777777" w:rsidR="0092508E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  <w:p w14:paraId="226BAF09" w14:textId="757FA7DA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1826C0CB" w14:textId="4C5177C7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176C7BE0" w14:textId="77777777" w:rsidTr="0092508E"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  <w:textDirection w:val="btLr"/>
          </w:tcPr>
          <w:p w14:paraId="31E5669F" w14:textId="77777777" w:rsidR="00ED1B03" w:rsidRPr="00845834" w:rsidRDefault="00892D0B" w:rsidP="00ED1B03">
            <w:pPr>
              <w:ind w:left="113" w:right="113"/>
              <w:jc w:val="center"/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rFonts w:ascii="Century Gothic" w:hAnsi="Century Gothic" w:cs="Arial"/>
                <w:b/>
                <w:bCs/>
                <w:color w:val="595959"/>
                <w:sz w:val="18"/>
                <w:szCs w:val="18"/>
              </w:rPr>
              <w:t>Geometry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9EBBC0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0C95945D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2G–1 </w:t>
            </w:r>
            <w:r w:rsidRPr="00845834">
              <w:rPr>
                <w:color w:val="595959"/>
                <w:sz w:val="18"/>
                <w:szCs w:val="18"/>
              </w:rPr>
              <w:t xml:space="preserve">Use precise language to describe the properties of 2D and 3D </w:t>
            </w:r>
            <w:r w:rsidR="00F7741E" w:rsidRPr="00845834">
              <w:rPr>
                <w:color w:val="595959"/>
                <w:sz w:val="18"/>
                <w:szCs w:val="18"/>
              </w:rPr>
              <w:t>shapes and</w:t>
            </w:r>
            <w:r w:rsidRPr="00845834">
              <w:rPr>
                <w:color w:val="595959"/>
                <w:sz w:val="18"/>
                <w:szCs w:val="18"/>
              </w:rPr>
              <w:t xml:space="preserve"> compare shapes by reasoning about similarities and differences in properties.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1695E91" w14:textId="62ABA421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225DD604" w14:textId="6DC463CC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E81C2B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78D4063" w14:textId="77777777" w:rsidR="00ED1B03" w:rsidRPr="00845834" w:rsidRDefault="00892D0B" w:rsidP="00ED1B03">
            <w:pPr>
              <w:rPr>
                <w:b/>
                <w:bCs/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 xml:space="preserve">3G–1 </w:t>
            </w:r>
            <w:r w:rsidRPr="00845834">
              <w:rPr>
                <w:color w:val="595959"/>
                <w:sz w:val="18"/>
                <w:szCs w:val="18"/>
              </w:rPr>
              <w:t xml:space="preserve">Recognise right angles as a property of shape or a description of a </w:t>
            </w:r>
            <w:r w:rsidR="00F7741E" w:rsidRPr="00845834">
              <w:rPr>
                <w:color w:val="595959"/>
                <w:sz w:val="18"/>
                <w:szCs w:val="18"/>
              </w:rPr>
              <w:t>turn and</w:t>
            </w:r>
            <w:r w:rsidRPr="00845834">
              <w:rPr>
                <w:color w:val="595959"/>
                <w:sz w:val="18"/>
                <w:szCs w:val="18"/>
              </w:rPr>
              <w:t xml:space="preserve"> identify right angles in 2D shapes presented in different orientations.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7D180F3A" w14:textId="4C994ACC" w:rsidR="00ED1B03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  <w:p w14:paraId="536103C4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129F17C4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72B4ECC1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4DF28A0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3C26F2F2" w14:textId="77777777" w:rsidR="0092508E" w:rsidRDefault="0092508E" w:rsidP="00ED1B03">
            <w:pP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</w:p>
          <w:p w14:paraId="60EBFA98" w14:textId="0647603E" w:rsidR="0092508E" w:rsidRPr="00845834" w:rsidRDefault="0092508E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7F970E2" w14:textId="292DF20D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  <w:tr w:rsidR="00845834" w14:paraId="74C2FF19" w14:textId="77777777" w:rsidTr="0092508E"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7D8F7D3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81D04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616DE13E" w14:textId="77777777" w:rsidR="00ED1B03" w:rsidRPr="00845834" w:rsidRDefault="00ED1B03" w:rsidP="00ED1B03">
            <w:pPr>
              <w:rPr>
                <w:color w:val="595959"/>
                <w:sz w:val="18"/>
                <w:szCs w:val="1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F66E99B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3A1CB03B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A1A7DD" w14:textId="77777777" w:rsidR="00ED1B03" w:rsidRPr="00845834" w:rsidRDefault="00ED1B03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9B1C0B8" w14:textId="77777777" w:rsidR="00ED1B03" w:rsidRPr="00845834" w:rsidRDefault="00892D0B" w:rsidP="00ED1B03">
            <w:pPr>
              <w:rPr>
                <w:color w:val="595959"/>
                <w:sz w:val="18"/>
                <w:szCs w:val="18"/>
              </w:rPr>
            </w:pPr>
            <w:r w:rsidRPr="00845834">
              <w:rPr>
                <w:b/>
                <w:bCs/>
                <w:color w:val="595959"/>
                <w:sz w:val="18"/>
                <w:szCs w:val="18"/>
              </w:rPr>
              <w:t>3G–2</w:t>
            </w:r>
            <w:r w:rsidRPr="00845834">
              <w:rPr>
                <w:color w:val="595959"/>
                <w:sz w:val="18"/>
                <w:szCs w:val="18"/>
              </w:rPr>
              <w:t xml:space="preserve"> Draw polygons by joining marked </w:t>
            </w:r>
            <w:r w:rsidR="00F7741E" w:rsidRPr="00845834">
              <w:rPr>
                <w:color w:val="595959"/>
                <w:sz w:val="18"/>
                <w:szCs w:val="18"/>
              </w:rPr>
              <w:t>points and</w:t>
            </w:r>
            <w:r w:rsidRPr="00845834">
              <w:rPr>
                <w:color w:val="595959"/>
                <w:sz w:val="18"/>
                <w:szCs w:val="18"/>
              </w:rPr>
              <w:t xml:space="preserve"> identify parallel and perpendicular sides.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433B415D" w14:textId="223572D6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8"/>
                <w:szCs w:val="18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5D4"/>
          </w:tcPr>
          <w:p w14:paraId="5347638D" w14:textId="77833A9B" w:rsidR="00ED1B03" w:rsidRPr="00845834" w:rsidRDefault="00AD260F" w:rsidP="00ED1B03">
            <w:pPr>
              <w:rPr>
                <w:rFonts w:ascii="Arial" w:hAnsi="Arial" w:cs="Arial"/>
                <w:b/>
                <w:bCs/>
                <w:color w:val="595959"/>
                <w:sz w:val="16"/>
                <w:szCs w:val="16"/>
              </w:rPr>
            </w:pP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instrText xml:space="preserve"> FORMTEXT </w:instrTex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separate"/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noProof/>
                <w:color w:val="595959"/>
                <w:sz w:val="18"/>
                <w:szCs w:val="18"/>
              </w:rPr>
              <w:t> </w:t>
            </w:r>
            <w:r w:rsidRPr="002E1235"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fldChar w:fldCharType="end"/>
            </w:r>
          </w:p>
        </w:tc>
      </w:tr>
    </w:tbl>
    <w:p w14:paraId="291E4642" w14:textId="77777777" w:rsidR="00AD260F" w:rsidRDefault="00AD260F">
      <w:pPr>
        <w:rPr>
          <w:rFonts w:ascii="Arial" w:hAnsi="Arial" w:cs="Arial"/>
          <w:sz w:val="18"/>
          <w:szCs w:val="18"/>
        </w:rPr>
      </w:pPr>
      <w:bookmarkStart w:id="2" w:name="_Hlk66098155"/>
    </w:p>
    <w:p w14:paraId="77C14AFB" w14:textId="7F214CF6" w:rsidR="00A0090A" w:rsidRDefault="004D76B6">
      <w:pPr>
        <w:rPr>
          <w:rFonts w:ascii="Arial" w:hAnsi="Arial" w:cs="Arial"/>
          <w:b/>
          <w:bCs/>
        </w:rPr>
      </w:pPr>
      <w:r w:rsidRPr="00AD260F">
        <w:rPr>
          <w:rFonts w:ascii="Arial" w:hAnsi="Arial" w:cs="Arial"/>
          <w:color w:val="595959"/>
          <w:sz w:val="18"/>
          <w:szCs w:val="18"/>
        </w:rPr>
        <w:t xml:space="preserve">*DfE Guidance: ‘Teaching mathematics in primary schools June 2020’, can be downloaded in full, or per year group, from this page: </w:t>
      </w:r>
      <w:hyperlink r:id="rId7" w:history="1">
        <w:r w:rsidRPr="005E00C6">
          <w:rPr>
            <w:rStyle w:val="Hyperlink"/>
            <w:rFonts w:ascii="Arial" w:hAnsi="Arial" w:cs="Arial"/>
            <w:sz w:val="18"/>
            <w:szCs w:val="18"/>
          </w:rPr>
          <w:t>www.gov.uk/government/publications/teaching-mathematics-in-primary-schools</w:t>
        </w:r>
      </w:hyperlink>
      <w:r w:rsidR="00AD260F">
        <w:rPr>
          <w:rFonts w:ascii="Arial" w:hAnsi="Arial" w:cs="Arial"/>
          <w:sz w:val="18"/>
          <w:szCs w:val="18"/>
        </w:rPr>
        <w:t xml:space="preserve">. </w:t>
      </w:r>
      <w:r w:rsidRPr="00AD260F">
        <w:rPr>
          <w:rFonts w:ascii="Arial" w:hAnsi="Arial" w:cs="Arial"/>
          <w:color w:val="595959"/>
          <w:sz w:val="18"/>
          <w:szCs w:val="18"/>
        </w:rPr>
        <w:t>Summary tables on pages 9-15 (of the full, Years 1-6 document) track criteria across year groups. Within the year group documents, the ‘Making connections’ blue boxes, detail connections across criteria</w:t>
      </w:r>
      <w:bookmarkEnd w:id="2"/>
      <w:r w:rsidRPr="00AD260F">
        <w:rPr>
          <w:rFonts w:ascii="Arial" w:hAnsi="Arial" w:cs="Arial"/>
          <w:color w:val="595959"/>
          <w:sz w:val="18"/>
          <w:szCs w:val="18"/>
        </w:rPr>
        <w:t>.</w:t>
      </w:r>
    </w:p>
    <w:sectPr w:rsidR="00A0090A" w:rsidSect="00AD2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141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AED4B" w14:textId="77777777" w:rsidR="00316E7E" w:rsidRDefault="00316E7E">
      <w:pPr>
        <w:spacing w:after="0" w:line="240" w:lineRule="auto"/>
      </w:pPr>
      <w:r>
        <w:separator/>
      </w:r>
    </w:p>
  </w:endnote>
  <w:endnote w:type="continuationSeparator" w:id="0">
    <w:p w14:paraId="0B4F662F" w14:textId="77777777" w:rsidR="00316E7E" w:rsidRDefault="00316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93C0A" w14:textId="77777777" w:rsidR="006A604E" w:rsidRDefault="006A60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2AFB" w14:textId="29D9B325" w:rsidR="00A54073" w:rsidRDefault="00316E7E" w:rsidP="006A604E">
    <w:pPr>
      <w:pStyle w:val="Footer"/>
      <w:jc w:val="center"/>
    </w:pPr>
    <w:hyperlink r:id="rId1" w:history="1">
      <w:r w:rsidR="00BE4F66" w:rsidRPr="00BE4F66">
        <w:rPr>
          <w:rStyle w:val="Hyperlink"/>
          <w:rFonts w:ascii="Arial" w:hAnsi="Arial" w:cs="Arial"/>
          <w:b/>
          <w:bCs/>
          <w:color w:val="595959"/>
          <w:sz w:val="18"/>
          <w:szCs w:val="18"/>
          <w:u w:val="none"/>
        </w:rPr>
        <w:t>ncetm.org.uk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048B7" w14:textId="77777777" w:rsidR="006A604E" w:rsidRDefault="006A60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F53F3" w14:textId="77777777" w:rsidR="00316E7E" w:rsidRDefault="00316E7E">
      <w:pPr>
        <w:spacing w:after="0" w:line="240" w:lineRule="auto"/>
      </w:pPr>
      <w:r>
        <w:separator/>
      </w:r>
    </w:p>
  </w:footnote>
  <w:footnote w:type="continuationSeparator" w:id="0">
    <w:p w14:paraId="01D7BD8B" w14:textId="77777777" w:rsidR="00316E7E" w:rsidRDefault="00316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F5718" w14:textId="77777777" w:rsidR="006A604E" w:rsidRDefault="006A60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B95C5" w14:textId="6EDBF8D0" w:rsidR="00AD260F" w:rsidRDefault="00AD260F">
    <w:pPr>
      <w:pStyle w:val="Header"/>
    </w:pPr>
    <w:r w:rsidRPr="00AD260F">
      <w:rPr>
        <w:noProof/>
      </w:rPr>
      <w:drawing>
        <wp:anchor distT="0" distB="0" distL="114300" distR="114300" simplePos="0" relativeHeight="251663360" behindDoc="1" locked="0" layoutInCell="1" allowOverlap="1" wp14:anchorId="29310DD3" wp14:editId="259484CA">
          <wp:simplePos x="0" y="0"/>
          <wp:positionH relativeFrom="column">
            <wp:posOffset>0</wp:posOffset>
          </wp:positionH>
          <wp:positionV relativeFrom="paragraph">
            <wp:posOffset>4689475</wp:posOffset>
          </wp:positionV>
          <wp:extent cx="4574540" cy="1965960"/>
          <wp:effectExtent l="0" t="0" r="0" b="0"/>
          <wp:wrapNone/>
          <wp:docPr id="25" name="Picture 11" descr="A picture containing icon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7E45843-AA80-414C-8C85-6CD79935FA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A picture containing icon&#10;&#10;Description automatically generated">
                    <a:extLst>
                      <a:ext uri="{FF2B5EF4-FFF2-40B4-BE49-F238E27FC236}">
                        <a16:creationId xmlns:a16="http://schemas.microsoft.com/office/drawing/2014/main" id="{A7E45843-AA80-414C-8C85-6CD79935FA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96" t="67152" r="53909"/>
                  <a:stretch/>
                </pic:blipFill>
                <pic:spPr>
                  <a:xfrm>
                    <a:off x="0" y="0"/>
                    <a:ext cx="4574540" cy="1965960"/>
                  </a:xfrm>
                  <a:prstGeom prst="rect">
                    <a:avLst/>
                  </a:prstGeom>
                  <a:effectLst>
                    <a:softEdge rad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60F">
      <w:rPr>
        <w:noProof/>
      </w:rPr>
      <w:drawing>
        <wp:anchor distT="0" distB="0" distL="114300" distR="114300" simplePos="0" relativeHeight="251662336" behindDoc="1" locked="0" layoutInCell="1" allowOverlap="1" wp14:anchorId="59B99BFD" wp14:editId="78D1D991">
          <wp:simplePos x="0" y="0"/>
          <wp:positionH relativeFrom="column">
            <wp:posOffset>8772525</wp:posOffset>
          </wp:positionH>
          <wp:positionV relativeFrom="paragraph">
            <wp:posOffset>1139190</wp:posOffset>
          </wp:positionV>
          <wp:extent cx="1511300" cy="1607185"/>
          <wp:effectExtent l="0" t="0" r="0" b="0"/>
          <wp:wrapNone/>
          <wp:docPr id="24" name="Picture 8">
            <a:extLst xmlns:a="http://schemas.openxmlformats.org/drawingml/2006/main">
              <a:ext uri="{FF2B5EF4-FFF2-40B4-BE49-F238E27FC236}">
                <a16:creationId xmlns:a16="http://schemas.microsoft.com/office/drawing/2014/main" id="{8ACFDB05-3973-4B10-8EF0-0B758717C9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8ACFDB05-3973-4B10-8EF0-0B758717C96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766" t="13212" r="14375" b="56805"/>
                  <a:stretch/>
                </pic:blipFill>
                <pic:spPr>
                  <a:xfrm>
                    <a:off x="0" y="0"/>
                    <a:ext cx="1511300" cy="160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60F">
      <w:rPr>
        <w:noProof/>
      </w:rPr>
      <w:drawing>
        <wp:anchor distT="0" distB="0" distL="114300" distR="114300" simplePos="0" relativeHeight="251661312" behindDoc="1" locked="0" layoutInCell="1" allowOverlap="1" wp14:anchorId="5C950293" wp14:editId="2FF182F8">
          <wp:simplePos x="0" y="0"/>
          <wp:positionH relativeFrom="column">
            <wp:posOffset>1314450</wp:posOffset>
          </wp:positionH>
          <wp:positionV relativeFrom="paragraph">
            <wp:posOffset>-890270</wp:posOffset>
          </wp:positionV>
          <wp:extent cx="1047115" cy="705485"/>
          <wp:effectExtent l="0" t="0" r="0" b="0"/>
          <wp:wrapNone/>
          <wp:docPr id="22" name="Picture 9" descr="A picture containing shap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DDBEE71-4AD3-44DE-8093-F9165FC426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A picture containing shape&#10;&#10;Description automatically generated">
                    <a:extLst>
                      <a:ext uri="{FF2B5EF4-FFF2-40B4-BE49-F238E27FC236}">
                        <a16:creationId xmlns:a16="http://schemas.microsoft.com/office/drawing/2014/main" id="{1DDBEE71-4AD3-44DE-8093-F9165FC426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3">
                    <a:alphaModFix amt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531" t="6666" r="70625" b="81528"/>
                  <a:stretch/>
                </pic:blipFill>
                <pic:spPr>
                  <a:xfrm>
                    <a:off x="0" y="0"/>
                    <a:ext cx="104711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B9378C5" wp14:editId="327EFABA">
          <wp:simplePos x="0" y="0"/>
          <wp:positionH relativeFrom="column">
            <wp:posOffset>7884160</wp:posOffset>
          </wp:positionH>
          <wp:positionV relativeFrom="page">
            <wp:posOffset>414020</wp:posOffset>
          </wp:positionV>
          <wp:extent cx="1890000" cy="478800"/>
          <wp:effectExtent l="0" t="0" r="0" b="0"/>
          <wp:wrapNone/>
          <wp:docPr id="2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000" cy="47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47435" w14:textId="77777777" w:rsidR="006A604E" w:rsidRDefault="006A60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B1EE6"/>
    <w:multiLevelType w:val="hybridMultilevel"/>
    <w:tmpl w:val="0F603B76"/>
    <w:lvl w:ilvl="0" w:tplc="890AB9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026E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925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44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AEDF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B089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50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BADE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A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227F1"/>
    <w:multiLevelType w:val="hybridMultilevel"/>
    <w:tmpl w:val="4EDCAD76"/>
    <w:lvl w:ilvl="0" w:tplc="3848AC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060A2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38C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A04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2E0A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CF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6C65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767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CFF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643"/>
    <w:rsid w:val="00003603"/>
    <w:rsid w:val="00066648"/>
    <w:rsid w:val="00066E4D"/>
    <w:rsid w:val="0007614E"/>
    <w:rsid w:val="000965D1"/>
    <w:rsid w:val="000A41A3"/>
    <w:rsid w:val="000B4711"/>
    <w:rsid w:val="000E5310"/>
    <w:rsid w:val="000F0162"/>
    <w:rsid w:val="000F2DB4"/>
    <w:rsid w:val="00135356"/>
    <w:rsid w:val="00176C82"/>
    <w:rsid w:val="00196ACC"/>
    <w:rsid w:val="001A426A"/>
    <w:rsid w:val="001F2419"/>
    <w:rsid w:val="00226A4E"/>
    <w:rsid w:val="00242056"/>
    <w:rsid w:val="00246569"/>
    <w:rsid w:val="00253756"/>
    <w:rsid w:val="0029194A"/>
    <w:rsid w:val="002B29FE"/>
    <w:rsid w:val="002C4050"/>
    <w:rsid w:val="002E1235"/>
    <w:rsid w:val="002E5847"/>
    <w:rsid w:val="0030446D"/>
    <w:rsid w:val="00312FEC"/>
    <w:rsid w:val="00316E7E"/>
    <w:rsid w:val="0032142F"/>
    <w:rsid w:val="00352DDA"/>
    <w:rsid w:val="003543C0"/>
    <w:rsid w:val="003560C0"/>
    <w:rsid w:val="003957B6"/>
    <w:rsid w:val="003C2D5B"/>
    <w:rsid w:val="00406B13"/>
    <w:rsid w:val="004208BF"/>
    <w:rsid w:val="00472528"/>
    <w:rsid w:val="0048286D"/>
    <w:rsid w:val="0049674A"/>
    <w:rsid w:val="004C790A"/>
    <w:rsid w:val="004D76B6"/>
    <w:rsid w:val="004F2E9E"/>
    <w:rsid w:val="00505C8A"/>
    <w:rsid w:val="00524548"/>
    <w:rsid w:val="00542251"/>
    <w:rsid w:val="00542D10"/>
    <w:rsid w:val="00594697"/>
    <w:rsid w:val="005C7545"/>
    <w:rsid w:val="005E1C97"/>
    <w:rsid w:val="005F62DD"/>
    <w:rsid w:val="00634929"/>
    <w:rsid w:val="00634B8D"/>
    <w:rsid w:val="00655B6D"/>
    <w:rsid w:val="00662F93"/>
    <w:rsid w:val="0068244A"/>
    <w:rsid w:val="00692EFB"/>
    <w:rsid w:val="006A604E"/>
    <w:rsid w:val="006D31A9"/>
    <w:rsid w:val="006E21E5"/>
    <w:rsid w:val="006E30C8"/>
    <w:rsid w:val="00713643"/>
    <w:rsid w:val="00722F60"/>
    <w:rsid w:val="00744619"/>
    <w:rsid w:val="00745C85"/>
    <w:rsid w:val="00747CBA"/>
    <w:rsid w:val="00783859"/>
    <w:rsid w:val="0078558F"/>
    <w:rsid w:val="007D5B9A"/>
    <w:rsid w:val="007E2630"/>
    <w:rsid w:val="00801E36"/>
    <w:rsid w:val="00823DE8"/>
    <w:rsid w:val="008438E8"/>
    <w:rsid w:val="00845834"/>
    <w:rsid w:val="00883B1C"/>
    <w:rsid w:val="0088549E"/>
    <w:rsid w:val="00892D0B"/>
    <w:rsid w:val="008A5D72"/>
    <w:rsid w:val="008B5C8C"/>
    <w:rsid w:val="00901ACB"/>
    <w:rsid w:val="009104F4"/>
    <w:rsid w:val="0092508E"/>
    <w:rsid w:val="00935D70"/>
    <w:rsid w:val="009815A4"/>
    <w:rsid w:val="00982908"/>
    <w:rsid w:val="009B0449"/>
    <w:rsid w:val="00A0090A"/>
    <w:rsid w:val="00A046B9"/>
    <w:rsid w:val="00A2622C"/>
    <w:rsid w:val="00A54073"/>
    <w:rsid w:val="00AB7272"/>
    <w:rsid w:val="00AC0D10"/>
    <w:rsid w:val="00AD1458"/>
    <w:rsid w:val="00AD260F"/>
    <w:rsid w:val="00AD5679"/>
    <w:rsid w:val="00AE7EA2"/>
    <w:rsid w:val="00B17EA8"/>
    <w:rsid w:val="00B4554A"/>
    <w:rsid w:val="00B71293"/>
    <w:rsid w:val="00B83813"/>
    <w:rsid w:val="00BA1050"/>
    <w:rsid w:val="00BD4609"/>
    <w:rsid w:val="00BE4F66"/>
    <w:rsid w:val="00BE66AB"/>
    <w:rsid w:val="00BF2AD4"/>
    <w:rsid w:val="00C30155"/>
    <w:rsid w:val="00C34123"/>
    <w:rsid w:val="00C60B11"/>
    <w:rsid w:val="00C7038C"/>
    <w:rsid w:val="00C73345"/>
    <w:rsid w:val="00C95F75"/>
    <w:rsid w:val="00CC4019"/>
    <w:rsid w:val="00D018F0"/>
    <w:rsid w:val="00D074E0"/>
    <w:rsid w:val="00D32F6B"/>
    <w:rsid w:val="00D36C77"/>
    <w:rsid w:val="00D9008E"/>
    <w:rsid w:val="00DB2B51"/>
    <w:rsid w:val="00DF4A0D"/>
    <w:rsid w:val="00E276C1"/>
    <w:rsid w:val="00E402BE"/>
    <w:rsid w:val="00E57649"/>
    <w:rsid w:val="00E57F5F"/>
    <w:rsid w:val="00E96979"/>
    <w:rsid w:val="00EA236E"/>
    <w:rsid w:val="00EA45B9"/>
    <w:rsid w:val="00EC1FAC"/>
    <w:rsid w:val="00ED1B03"/>
    <w:rsid w:val="00ED3587"/>
    <w:rsid w:val="00EE60E8"/>
    <w:rsid w:val="00F26187"/>
    <w:rsid w:val="00F4103B"/>
    <w:rsid w:val="00F6410D"/>
    <w:rsid w:val="00F65973"/>
    <w:rsid w:val="00F702AF"/>
    <w:rsid w:val="00F7741E"/>
    <w:rsid w:val="00F95C1B"/>
    <w:rsid w:val="00FC58DC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D7539"/>
  <w15:chartTrackingRefBased/>
  <w15:docId w15:val="{19E5CBB9-F062-432F-89D6-564B45AD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3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073"/>
  </w:style>
  <w:style w:type="paragraph" w:styleId="Footer">
    <w:name w:val="footer"/>
    <w:basedOn w:val="Normal"/>
    <w:link w:val="FooterChar"/>
    <w:uiPriority w:val="99"/>
    <w:unhideWhenUsed/>
    <w:rsid w:val="00A54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073"/>
  </w:style>
  <w:style w:type="paragraph" w:styleId="ListParagraph">
    <w:name w:val="List Paragraph"/>
    <w:basedOn w:val="Normal"/>
    <w:uiPriority w:val="34"/>
    <w:qFormat/>
    <w:rsid w:val="007D5B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5D7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5D7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76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6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6B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teaching-mathematics-in-primary-school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cetm.org.uk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Christie</dc:creator>
  <cp:lastModifiedBy>Liam Benson</cp:lastModifiedBy>
  <cp:revision>6</cp:revision>
  <dcterms:created xsi:type="dcterms:W3CDTF">2021-03-09T10:42:00Z</dcterms:created>
  <dcterms:modified xsi:type="dcterms:W3CDTF">2021-03-09T16:48:00Z</dcterms:modified>
</cp:coreProperties>
</file>