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577D" w14:textId="77777777" w:rsidR="00414C24" w:rsidRDefault="001501C4" w:rsidP="001501C4">
      <w:pPr>
        <w:spacing w:before="0" w:line="240" w:lineRule="auto"/>
        <w:jc w:val="center"/>
        <w:rPr>
          <w:rFonts w:ascii="Arial" w:hAnsi="Arial"/>
          <w:b/>
          <w:bCs w:val="0"/>
          <w:sz w:val="40"/>
          <w:lang w:val="en-US"/>
        </w:rPr>
      </w:pPr>
      <w:r w:rsidRPr="007433B6">
        <w:rPr>
          <w:rFonts w:ascii="Arial" w:hAnsi="Arial"/>
          <w:b/>
          <w:bCs w:val="0"/>
          <w:sz w:val="40"/>
          <w:lang w:val="en-US"/>
        </w:rPr>
        <w:t xml:space="preserve">Shaping the Year 7 Curriculum: </w:t>
      </w:r>
    </w:p>
    <w:p w14:paraId="6005D6A0" w14:textId="4C533440" w:rsidR="001501C4" w:rsidRPr="007433B6" w:rsidRDefault="001501C4" w:rsidP="001501C4">
      <w:pPr>
        <w:spacing w:before="0" w:line="240" w:lineRule="auto"/>
        <w:jc w:val="center"/>
        <w:rPr>
          <w:rFonts w:ascii="Arial" w:hAnsi="Arial"/>
          <w:b/>
          <w:sz w:val="40"/>
          <w:lang w:val="en-US"/>
        </w:rPr>
      </w:pPr>
      <w:r w:rsidRPr="007433B6">
        <w:rPr>
          <w:rFonts w:ascii="Arial" w:hAnsi="Arial"/>
          <w:b/>
          <w:bCs w:val="0"/>
          <w:sz w:val="40"/>
          <w:lang w:val="en-US"/>
        </w:rPr>
        <w:t>Building on Year 6</w:t>
      </w:r>
    </w:p>
    <w:p w14:paraId="4E858ABC" w14:textId="77777777" w:rsidR="001501C4" w:rsidRPr="007433B6" w:rsidRDefault="001501C4" w:rsidP="001501C4">
      <w:pPr>
        <w:spacing w:before="0" w:line="240" w:lineRule="auto"/>
        <w:rPr>
          <w:rFonts w:ascii="Arial" w:hAnsi="Arial"/>
          <w:bCs w:val="0"/>
          <w:color w:val="auto"/>
          <w:szCs w:val="20"/>
          <w:lang w:val="en-US"/>
        </w:rPr>
      </w:pPr>
    </w:p>
    <w:p w14:paraId="212A4422" w14:textId="77777777" w:rsidR="00F604C4" w:rsidRDefault="00F604C4" w:rsidP="001501C4">
      <w:pPr>
        <w:spacing w:before="0" w:line="240" w:lineRule="auto"/>
        <w:rPr>
          <w:rFonts w:ascii="Arial" w:hAnsi="Arial"/>
          <w:b/>
          <w:bCs w:val="0"/>
          <w:sz w:val="24"/>
          <w:szCs w:val="24"/>
          <w:lang w:val="en-US"/>
        </w:rPr>
      </w:pPr>
    </w:p>
    <w:p w14:paraId="742834CC" w14:textId="153B5B4D" w:rsidR="001501C4" w:rsidRPr="002A70CE" w:rsidRDefault="001501C4" w:rsidP="001501C4">
      <w:pPr>
        <w:spacing w:before="0" w:line="240" w:lineRule="auto"/>
        <w:rPr>
          <w:rFonts w:ascii="Arial" w:hAnsi="Arial"/>
          <w:b/>
          <w:bCs w:val="0"/>
          <w:sz w:val="24"/>
          <w:szCs w:val="24"/>
          <w:lang w:val="en-US"/>
        </w:rPr>
      </w:pPr>
      <w:r w:rsidRPr="002A70CE">
        <w:rPr>
          <w:rFonts w:ascii="Arial" w:hAnsi="Arial"/>
          <w:b/>
          <w:bCs w:val="0"/>
          <w:sz w:val="24"/>
          <w:szCs w:val="24"/>
          <w:lang w:val="en-US"/>
        </w:rPr>
        <w:t>Introduction</w:t>
      </w:r>
    </w:p>
    <w:p w14:paraId="32FCAF62" w14:textId="77777777" w:rsidR="00472366" w:rsidRDefault="00472366" w:rsidP="001501C4">
      <w:pPr>
        <w:spacing w:before="0" w:line="240" w:lineRule="auto"/>
        <w:rPr>
          <w:rFonts w:ascii="Arial" w:hAnsi="Arial"/>
          <w:lang w:val="en-US"/>
        </w:rPr>
      </w:pPr>
    </w:p>
    <w:p w14:paraId="457E6288" w14:textId="414378BE" w:rsidR="001501C4" w:rsidRDefault="001501C4" w:rsidP="001501C4">
      <w:pPr>
        <w:spacing w:before="0" w:line="240" w:lineRule="auto"/>
        <w:rPr>
          <w:rFonts w:ascii="Arial" w:hAnsi="Arial"/>
          <w:lang w:val="en-US"/>
        </w:rPr>
      </w:pPr>
      <w:r w:rsidRPr="007433B6">
        <w:rPr>
          <w:rFonts w:ascii="Arial" w:hAnsi="Arial"/>
          <w:lang w:val="en-US"/>
        </w:rPr>
        <w:t xml:space="preserve">At every </w:t>
      </w:r>
      <w:r w:rsidR="004C38C8">
        <w:rPr>
          <w:rFonts w:ascii="Arial" w:hAnsi="Arial"/>
          <w:lang w:val="en-US"/>
        </w:rPr>
        <w:t>k</w:t>
      </w:r>
      <w:r w:rsidRPr="007433B6">
        <w:rPr>
          <w:rFonts w:ascii="Arial" w:hAnsi="Arial"/>
          <w:lang w:val="en-US"/>
        </w:rPr>
        <w:t xml:space="preserve">ey </w:t>
      </w:r>
      <w:r w:rsidR="004C38C8">
        <w:rPr>
          <w:rFonts w:ascii="Arial" w:hAnsi="Arial"/>
          <w:lang w:val="en-US"/>
        </w:rPr>
        <w:t>s</w:t>
      </w:r>
      <w:r w:rsidRPr="007433B6">
        <w:rPr>
          <w:rFonts w:ascii="Arial" w:hAnsi="Arial"/>
          <w:lang w:val="en-US"/>
        </w:rPr>
        <w:t xml:space="preserve">tage there are important conceptual and procedural milestones. </w:t>
      </w:r>
      <w:r w:rsidR="00EF1DCD">
        <w:rPr>
          <w:rFonts w:ascii="Arial" w:hAnsi="Arial"/>
          <w:lang w:val="en-US"/>
        </w:rPr>
        <w:t xml:space="preserve">These are </w:t>
      </w:r>
      <w:proofErr w:type="gramStart"/>
      <w:r w:rsidR="00EF1DCD">
        <w:rPr>
          <w:rFonts w:ascii="Arial" w:hAnsi="Arial"/>
          <w:lang w:val="en-US"/>
        </w:rPr>
        <w:t>c</w:t>
      </w:r>
      <w:r w:rsidRPr="007433B6">
        <w:rPr>
          <w:rFonts w:ascii="Arial" w:hAnsi="Arial"/>
          <w:lang w:val="en-US"/>
        </w:rPr>
        <w:t>oncepts</w:t>
      </w:r>
      <w:proofErr w:type="gramEnd"/>
      <w:r w:rsidRPr="007433B6">
        <w:rPr>
          <w:rFonts w:ascii="Arial" w:hAnsi="Arial"/>
          <w:lang w:val="en-US"/>
        </w:rPr>
        <w:t xml:space="preserve"> that pupils need to understand deeply and skills they are able to perform fluently so that future concepts and skills can be built on firm foundations.</w:t>
      </w:r>
    </w:p>
    <w:p w14:paraId="25FC4CFA" w14:textId="77777777" w:rsidR="00EF1DCD" w:rsidRPr="007433B6" w:rsidRDefault="00EF1DCD" w:rsidP="001501C4">
      <w:pPr>
        <w:spacing w:before="0" w:line="240" w:lineRule="auto"/>
        <w:rPr>
          <w:rFonts w:ascii="Arial" w:hAnsi="Arial"/>
          <w:bCs w:val="0"/>
          <w:color w:val="auto"/>
          <w:szCs w:val="20"/>
          <w:lang w:val="en-US"/>
        </w:rPr>
      </w:pPr>
    </w:p>
    <w:p w14:paraId="1C96CEF4" w14:textId="24D9A218" w:rsidR="001501C4" w:rsidRDefault="001501C4" w:rsidP="001501C4">
      <w:pPr>
        <w:spacing w:before="0" w:line="240" w:lineRule="auto"/>
        <w:rPr>
          <w:rFonts w:ascii="Arial" w:hAnsi="Arial"/>
          <w:lang w:val="en-US"/>
        </w:rPr>
      </w:pPr>
      <w:r w:rsidRPr="007433B6">
        <w:rPr>
          <w:rFonts w:ascii="Arial" w:hAnsi="Arial"/>
          <w:lang w:val="en-US"/>
        </w:rPr>
        <w:t>In July 2020, the DfE published non-statutory guidance for the primary National Curriculum</w:t>
      </w:r>
      <w:r w:rsidR="00F93722">
        <w:rPr>
          <w:rFonts w:ascii="Arial" w:hAnsi="Arial"/>
          <w:lang w:val="en-US"/>
        </w:rPr>
        <w:t>. T</w:t>
      </w:r>
      <w:r w:rsidRPr="007433B6">
        <w:rPr>
          <w:rFonts w:ascii="Arial" w:hAnsi="Arial"/>
          <w:lang w:val="en-US"/>
        </w:rPr>
        <w:t xml:space="preserve">his guidance </w:t>
      </w:r>
      <w:proofErr w:type="spellStart"/>
      <w:r w:rsidRPr="007433B6">
        <w:rPr>
          <w:rFonts w:ascii="Arial" w:hAnsi="Arial"/>
          <w:lang w:val="en-US"/>
        </w:rPr>
        <w:t>summarises</w:t>
      </w:r>
      <w:proofErr w:type="spellEnd"/>
      <w:r w:rsidRPr="007433B6">
        <w:rPr>
          <w:rFonts w:ascii="Arial" w:hAnsi="Arial"/>
          <w:lang w:val="en-US"/>
        </w:rPr>
        <w:t xml:space="preserve"> the most important elements of knowledge and understanding within each year group from </w:t>
      </w:r>
      <w:r w:rsidR="00F93722">
        <w:rPr>
          <w:rFonts w:ascii="Arial" w:hAnsi="Arial"/>
          <w:lang w:val="en-US"/>
        </w:rPr>
        <w:t>Y</w:t>
      </w:r>
      <w:r w:rsidRPr="007433B6">
        <w:rPr>
          <w:rFonts w:ascii="Arial" w:hAnsi="Arial"/>
          <w:lang w:val="en-US"/>
        </w:rPr>
        <w:t xml:space="preserve">ear 1 to </w:t>
      </w:r>
      <w:r w:rsidR="00F93722">
        <w:rPr>
          <w:rFonts w:ascii="Arial" w:hAnsi="Arial"/>
          <w:lang w:val="en-US"/>
        </w:rPr>
        <w:t>Y</w:t>
      </w:r>
      <w:r w:rsidRPr="007433B6">
        <w:rPr>
          <w:rFonts w:ascii="Arial" w:hAnsi="Arial"/>
          <w:lang w:val="en-US"/>
        </w:rPr>
        <w:t>ear 6.</w:t>
      </w:r>
    </w:p>
    <w:p w14:paraId="3EDAC08F" w14:textId="77777777" w:rsidR="00F93722" w:rsidRPr="007433B6" w:rsidRDefault="00F93722" w:rsidP="001501C4">
      <w:pPr>
        <w:spacing w:before="0" w:line="240" w:lineRule="auto"/>
        <w:rPr>
          <w:rFonts w:ascii="Arial" w:hAnsi="Arial"/>
          <w:lang w:val="en-US"/>
        </w:rPr>
      </w:pPr>
    </w:p>
    <w:p w14:paraId="608E2E6C" w14:textId="547BE158" w:rsidR="001501C4" w:rsidRPr="007433B6" w:rsidRDefault="001501C4" w:rsidP="001501C4">
      <w:pPr>
        <w:spacing w:before="0" w:line="240" w:lineRule="auto"/>
        <w:rPr>
          <w:rFonts w:ascii="Arial" w:hAnsi="Arial"/>
          <w:lang w:val="en-US"/>
        </w:rPr>
      </w:pPr>
      <w:r w:rsidRPr="007433B6">
        <w:rPr>
          <w:rFonts w:ascii="Arial" w:hAnsi="Arial"/>
          <w:lang w:val="en-US"/>
        </w:rPr>
        <w:t xml:space="preserve">There is a chapter for each year group and each chapter begins with a table that shows ready-to-progress criteria and how these link to pupils’ prior knowledge and future applications. The </w:t>
      </w:r>
      <w:r w:rsidR="007C220B">
        <w:rPr>
          <w:rFonts w:ascii="Arial" w:hAnsi="Arial"/>
          <w:lang w:val="en-US"/>
        </w:rPr>
        <w:t>Y</w:t>
      </w:r>
      <w:r w:rsidRPr="007433B6">
        <w:rPr>
          <w:rFonts w:ascii="Arial" w:hAnsi="Arial"/>
          <w:lang w:val="en-US"/>
        </w:rPr>
        <w:t>ear 6 table indicates aspects of the K</w:t>
      </w:r>
      <w:r w:rsidR="007C220B">
        <w:rPr>
          <w:rFonts w:ascii="Arial" w:hAnsi="Arial"/>
          <w:lang w:val="en-US"/>
        </w:rPr>
        <w:t xml:space="preserve">ey </w:t>
      </w:r>
      <w:r w:rsidRPr="007433B6">
        <w:rPr>
          <w:rFonts w:ascii="Arial" w:hAnsi="Arial"/>
          <w:lang w:val="en-US"/>
        </w:rPr>
        <w:t>S</w:t>
      </w:r>
      <w:r w:rsidR="007C220B">
        <w:rPr>
          <w:rFonts w:ascii="Arial" w:hAnsi="Arial"/>
          <w:lang w:val="en-US"/>
        </w:rPr>
        <w:t xml:space="preserve">tage </w:t>
      </w:r>
      <w:r w:rsidRPr="007433B6">
        <w:rPr>
          <w:rFonts w:ascii="Arial" w:hAnsi="Arial"/>
          <w:lang w:val="en-US"/>
        </w:rPr>
        <w:t>3 curriculum that build on these ideas.</w:t>
      </w:r>
    </w:p>
    <w:p w14:paraId="4997BF86" w14:textId="77777777" w:rsidR="001501C4" w:rsidRPr="007433B6" w:rsidRDefault="001501C4" w:rsidP="001501C4">
      <w:pPr>
        <w:spacing w:before="0" w:line="240" w:lineRule="auto"/>
        <w:rPr>
          <w:rFonts w:ascii="Arial" w:hAnsi="Arial"/>
          <w:lang w:val="en-US"/>
        </w:rPr>
      </w:pPr>
    </w:p>
    <w:p w14:paraId="5D9B4CCC" w14:textId="4C2C2D03" w:rsidR="001501C4" w:rsidRDefault="001501C4" w:rsidP="001501C4">
      <w:pPr>
        <w:spacing w:before="0" w:line="240" w:lineRule="auto"/>
        <w:jc w:val="center"/>
        <w:rPr>
          <w:rFonts w:ascii="Arial" w:hAnsi="Arial"/>
          <w:lang w:val="en-US"/>
        </w:rPr>
      </w:pPr>
      <w:r w:rsidRPr="007433B6">
        <w:rPr>
          <w:rFonts w:ascii="Arial" w:hAnsi="Arial"/>
          <w:noProof/>
        </w:rPr>
        <w:drawing>
          <wp:inline distT="0" distB="0" distL="0" distR="0" wp14:anchorId="0CFD48FD" wp14:editId="702D6215">
            <wp:extent cx="5076825" cy="3371850"/>
            <wp:effectExtent l="76200" t="76200" r="142875" b="13335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0"/>
                    <a:srcRect l="19978" t="26592" r="20406" b="7501"/>
                    <a:stretch/>
                  </pic:blipFill>
                  <pic:spPr bwMode="auto">
                    <a:xfrm>
                      <a:off x="0" y="0"/>
                      <a:ext cx="4909957" cy="3261022"/>
                    </a:xfrm>
                    <a:prstGeom prst="rect">
                      <a:avLst/>
                    </a:prstGeom>
                    <a:ln w="38100" cap="sq">
                      <a:solidFill>
                        <a:srgbClr val="00628C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7B211" w14:textId="06BDEB3E" w:rsidR="007C0700" w:rsidRDefault="007C0700" w:rsidP="007C0700">
      <w:pPr>
        <w:spacing w:before="0" w:line="240" w:lineRule="auto"/>
        <w:jc w:val="right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 xml:space="preserve">p9 </w:t>
      </w:r>
      <w:hyperlink r:id="rId11" w:history="1">
        <w:r w:rsidRPr="007C0700">
          <w:rPr>
            <w:rStyle w:val="Hyperlink"/>
            <w:rFonts w:ascii="Arial" w:hAnsi="Arial"/>
            <w:sz w:val="16"/>
            <w:szCs w:val="16"/>
            <w:lang w:val="en-US"/>
          </w:rPr>
          <w:t>DfE Teaching Mathematics in Primary Schools July 2020</w:t>
        </w:r>
      </w:hyperlink>
    </w:p>
    <w:p w14:paraId="3EF66CBC" w14:textId="77777777" w:rsidR="007C0700" w:rsidRPr="007C0700" w:rsidRDefault="007C0700" w:rsidP="007C0700">
      <w:pPr>
        <w:spacing w:before="0" w:line="240" w:lineRule="auto"/>
        <w:jc w:val="right"/>
        <w:rPr>
          <w:rFonts w:ascii="Arial" w:hAnsi="Arial"/>
          <w:sz w:val="16"/>
          <w:szCs w:val="16"/>
          <w:lang w:val="en-US"/>
        </w:rPr>
      </w:pPr>
    </w:p>
    <w:p w14:paraId="29DE1523" w14:textId="653ED72E" w:rsidR="001501C4" w:rsidRPr="007433B6" w:rsidRDefault="00891835" w:rsidP="001501C4">
      <w:pPr>
        <w:spacing w:before="0" w:line="24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1501C4" w:rsidRPr="007433B6">
        <w:rPr>
          <w:rFonts w:ascii="Arial" w:hAnsi="Arial"/>
          <w:lang w:val="en-US"/>
        </w:rPr>
        <w:t xml:space="preserve">his document </w:t>
      </w:r>
      <w:r>
        <w:rPr>
          <w:rFonts w:ascii="Arial" w:hAnsi="Arial"/>
          <w:lang w:val="en-US"/>
        </w:rPr>
        <w:t xml:space="preserve">also </w:t>
      </w:r>
      <w:r w:rsidR="001501C4" w:rsidRPr="007433B6">
        <w:rPr>
          <w:rFonts w:ascii="Arial" w:hAnsi="Arial"/>
          <w:lang w:val="en-US"/>
        </w:rPr>
        <w:t xml:space="preserve">provides a very useful resource for Key Stage 3 teachers (ideally, in collaboration with Year 6 teachers as part of transition work) to ensure that pupils are </w:t>
      </w:r>
      <w:r>
        <w:rPr>
          <w:rFonts w:ascii="Arial" w:hAnsi="Arial"/>
          <w:lang w:val="en-US"/>
        </w:rPr>
        <w:t>‘</w:t>
      </w:r>
      <w:r w:rsidR="001501C4" w:rsidRPr="007433B6">
        <w:rPr>
          <w:rFonts w:ascii="Arial" w:hAnsi="Arial"/>
          <w:lang w:val="en-US"/>
        </w:rPr>
        <w:t>secondary ready</w:t>
      </w:r>
      <w:r>
        <w:rPr>
          <w:rFonts w:ascii="Arial" w:hAnsi="Arial"/>
          <w:lang w:val="en-US"/>
        </w:rPr>
        <w:t>’</w:t>
      </w:r>
      <w:r w:rsidR="001501C4" w:rsidRPr="007433B6">
        <w:rPr>
          <w:rFonts w:ascii="Arial" w:hAnsi="Arial"/>
          <w:lang w:val="en-US"/>
        </w:rPr>
        <w:t xml:space="preserve"> and able to make good progress in Year 7.</w:t>
      </w:r>
    </w:p>
    <w:p w14:paraId="47DDB030" w14:textId="77777777" w:rsidR="001501C4" w:rsidRPr="007433B6" w:rsidRDefault="001501C4" w:rsidP="001501C4">
      <w:pPr>
        <w:spacing w:before="0" w:line="240" w:lineRule="auto"/>
        <w:rPr>
          <w:rFonts w:ascii="Arial" w:hAnsi="Arial"/>
          <w:lang w:val="en-US"/>
        </w:rPr>
      </w:pPr>
    </w:p>
    <w:p w14:paraId="1EBCFE6D" w14:textId="1960B02B" w:rsidR="001501C4" w:rsidRDefault="001501C4" w:rsidP="001501C4">
      <w:pPr>
        <w:spacing w:before="0" w:line="240" w:lineRule="auto"/>
        <w:rPr>
          <w:rFonts w:ascii="Arial" w:hAnsi="Arial"/>
          <w:b/>
          <w:bCs w:val="0"/>
          <w:i/>
          <w:iCs/>
          <w:lang w:val="en-US"/>
        </w:rPr>
      </w:pPr>
      <w:r w:rsidRPr="007433B6">
        <w:rPr>
          <w:rFonts w:ascii="Arial" w:hAnsi="Arial"/>
          <w:b/>
          <w:bCs w:val="0"/>
          <w:i/>
          <w:iCs/>
          <w:lang w:val="en-US"/>
        </w:rPr>
        <w:t xml:space="preserve">We strongly recommend that you take a look at </w:t>
      </w:r>
      <w:r w:rsidR="007C0700">
        <w:rPr>
          <w:rFonts w:ascii="Arial" w:hAnsi="Arial"/>
          <w:b/>
          <w:bCs w:val="0"/>
          <w:i/>
          <w:iCs/>
          <w:lang w:val="en-US"/>
        </w:rPr>
        <w:t>the</w:t>
      </w:r>
      <w:r w:rsidR="007C0700" w:rsidRPr="007433B6">
        <w:rPr>
          <w:rFonts w:ascii="Arial" w:hAnsi="Arial"/>
          <w:b/>
          <w:bCs w:val="0"/>
          <w:i/>
          <w:iCs/>
          <w:lang w:val="en-US"/>
        </w:rPr>
        <w:t xml:space="preserve"> </w:t>
      </w:r>
      <w:hyperlink r:id="rId12" w:history="1">
        <w:r w:rsidR="007C220B">
          <w:rPr>
            <w:rStyle w:val="Hyperlink"/>
            <w:rFonts w:ascii="Arial" w:hAnsi="Arial"/>
            <w:b/>
            <w:bCs w:val="0"/>
            <w:i/>
            <w:iCs/>
            <w:lang w:val="en-US"/>
          </w:rPr>
          <w:t>Year 6 guidance</w:t>
        </w:r>
      </w:hyperlink>
      <w:r w:rsidRPr="007433B6">
        <w:rPr>
          <w:rFonts w:ascii="Arial" w:hAnsi="Arial"/>
          <w:b/>
          <w:bCs w:val="0"/>
          <w:i/>
          <w:iCs/>
          <w:lang w:val="en-US"/>
        </w:rPr>
        <w:t xml:space="preserve"> as well as </w:t>
      </w:r>
      <w:hyperlink r:id="rId13" w:history="1">
        <w:r w:rsidRPr="007433B6">
          <w:rPr>
            <w:rStyle w:val="Hyperlink"/>
            <w:rFonts w:ascii="Arial" w:hAnsi="Arial"/>
            <w:b/>
            <w:bCs w:val="0"/>
            <w:i/>
            <w:iCs/>
            <w:lang w:val="en-US"/>
          </w:rPr>
          <w:t>this short video introduction</w:t>
        </w:r>
      </w:hyperlink>
      <w:r w:rsidRPr="007433B6">
        <w:rPr>
          <w:rFonts w:ascii="Arial" w:hAnsi="Arial"/>
          <w:b/>
          <w:bCs w:val="0"/>
          <w:i/>
          <w:iCs/>
          <w:lang w:val="en-US"/>
        </w:rPr>
        <w:t xml:space="preserve"> that </w:t>
      </w:r>
      <w:proofErr w:type="spellStart"/>
      <w:r w:rsidRPr="007433B6">
        <w:rPr>
          <w:rFonts w:ascii="Arial" w:hAnsi="Arial"/>
          <w:b/>
          <w:bCs w:val="0"/>
          <w:i/>
          <w:iCs/>
          <w:lang w:val="en-US"/>
        </w:rPr>
        <w:t>summarises</w:t>
      </w:r>
      <w:proofErr w:type="spellEnd"/>
      <w:r w:rsidRPr="007433B6">
        <w:rPr>
          <w:rFonts w:ascii="Arial" w:hAnsi="Arial"/>
          <w:b/>
          <w:bCs w:val="0"/>
          <w:i/>
          <w:iCs/>
          <w:lang w:val="en-US"/>
        </w:rPr>
        <w:t xml:space="preserve"> the guidance.</w:t>
      </w:r>
    </w:p>
    <w:p w14:paraId="427E5359" w14:textId="77777777" w:rsidR="000B6704" w:rsidRDefault="000B6704" w:rsidP="001501C4">
      <w:pPr>
        <w:spacing w:before="0" w:line="240" w:lineRule="auto"/>
        <w:rPr>
          <w:rFonts w:ascii="Arial" w:hAnsi="Arial"/>
          <w:b/>
          <w:bCs w:val="0"/>
          <w:i/>
          <w:iCs/>
          <w:lang w:val="en-US"/>
        </w:rPr>
      </w:pPr>
    </w:p>
    <w:p w14:paraId="39998F8A" w14:textId="37470496" w:rsidR="006E76D2" w:rsidRPr="006E76D2" w:rsidRDefault="006E76D2" w:rsidP="001501C4">
      <w:pPr>
        <w:spacing w:before="0" w:line="24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You may also be interested in </w:t>
      </w:r>
      <w:r w:rsidR="00F37AD9">
        <w:rPr>
          <w:rFonts w:ascii="Arial" w:hAnsi="Arial"/>
          <w:lang w:val="en-US"/>
        </w:rPr>
        <w:t xml:space="preserve">this suite of </w:t>
      </w:r>
      <w:r w:rsidR="006E6791">
        <w:rPr>
          <w:rFonts w:ascii="Arial" w:hAnsi="Arial"/>
          <w:lang w:val="en-US"/>
        </w:rPr>
        <w:t xml:space="preserve">PowerPoint slides offering </w:t>
      </w:r>
      <w:hyperlink r:id="rId14" w:history="1">
        <w:r w:rsidR="006E6791" w:rsidRPr="006E6791">
          <w:rPr>
            <w:rStyle w:val="Hyperlink"/>
            <w:rFonts w:ascii="Arial" w:hAnsi="Arial"/>
            <w:lang w:val="en-US"/>
          </w:rPr>
          <w:t>exemplification of the ready-to-progress criteria</w:t>
        </w:r>
      </w:hyperlink>
      <w:r w:rsidR="006E6791">
        <w:rPr>
          <w:rFonts w:ascii="Arial" w:hAnsi="Arial"/>
          <w:lang w:val="en-US"/>
        </w:rPr>
        <w:t xml:space="preserve"> (particularly those for Y</w:t>
      </w:r>
      <w:r w:rsidR="00FE418B">
        <w:rPr>
          <w:rFonts w:ascii="Arial" w:hAnsi="Arial"/>
          <w:lang w:val="en-US"/>
        </w:rPr>
        <w:t xml:space="preserve">ear </w:t>
      </w:r>
      <w:r w:rsidR="006E6791">
        <w:rPr>
          <w:rFonts w:ascii="Arial" w:hAnsi="Arial"/>
          <w:lang w:val="en-US"/>
        </w:rPr>
        <w:t>6</w:t>
      </w:r>
      <w:r w:rsidR="00FE418B">
        <w:rPr>
          <w:rFonts w:ascii="Arial" w:hAnsi="Arial"/>
          <w:lang w:val="en-US"/>
        </w:rPr>
        <w:t>.</w:t>
      </w:r>
      <w:r w:rsidR="006E6791">
        <w:rPr>
          <w:rFonts w:ascii="Arial" w:hAnsi="Arial"/>
          <w:lang w:val="en-US"/>
        </w:rPr>
        <w:t>)</w:t>
      </w:r>
    </w:p>
    <w:p w14:paraId="09C20E04" w14:textId="74A057B0" w:rsidR="00C2604B" w:rsidRDefault="00C2604B" w:rsidP="001501C4">
      <w:pPr>
        <w:spacing w:before="0" w:line="240" w:lineRule="auto"/>
        <w:rPr>
          <w:rFonts w:ascii="Arial" w:hAnsi="Arial"/>
          <w:lang w:val="en-US"/>
        </w:rPr>
      </w:pPr>
    </w:p>
    <w:p w14:paraId="4650E988" w14:textId="291BE425" w:rsidR="00C2604B" w:rsidRDefault="00C2604B" w:rsidP="001501C4">
      <w:pPr>
        <w:spacing w:before="0" w:line="240" w:lineRule="auto"/>
        <w:rPr>
          <w:rFonts w:ascii="Arial" w:hAnsi="Arial"/>
          <w:lang w:val="en-US"/>
        </w:rPr>
      </w:pPr>
    </w:p>
    <w:p w14:paraId="2E0C1BD6" w14:textId="2194A3A8" w:rsidR="00C2604B" w:rsidRDefault="00C2604B" w:rsidP="001501C4">
      <w:pPr>
        <w:spacing w:before="0" w:line="240" w:lineRule="auto"/>
        <w:rPr>
          <w:rFonts w:ascii="Arial" w:hAnsi="Arial"/>
          <w:lang w:val="en-US"/>
        </w:rPr>
      </w:pPr>
    </w:p>
    <w:p w14:paraId="5E571F5F" w14:textId="4F5B7A52" w:rsidR="00C2604B" w:rsidRDefault="00C2604B" w:rsidP="001501C4">
      <w:pPr>
        <w:spacing w:before="0" w:line="240" w:lineRule="auto"/>
        <w:rPr>
          <w:rFonts w:ascii="Arial" w:hAnsi="Arial"/>
          <w:lang w:val="en-US"/>
        </w:rPr>
      </w:pPr>
    </w:p>
    <w:p w14:paraId="03706A78" w14:textId="0AB1266F" w:rsidR="00C2604B" w:rsidRDefault="00C2604B" w:rsidP="001501C4">
      <w:pPr>
        <w:spacing w:before="0" w:line="240" w:lineRule="auto"/>
        <w:rPr>
          <w:rFonts w:ascii="Arial" w:hAnsi="Arial"/>
          <w:lang w:val="en-US"/>
        </w:rPr>
      </w:pPr>
    </w:p>
    <w:p w14:paraId="491C2393" w14:textId="77777777" w:rsidR="00C2604B" w:rsidRPr="007433B6" w:rsidRDefault="00C2604B" w:rsidP="001501C4">
      <w:pPr>
        <w:spacing w:before="0" w:line="240" w:lineRule="auto"/>
        <w:rPr>
          <w:rFonts w:ascii="Arial" w:hAnsi="Arial"/>
          <w:bCs w:val="0"/>
          <w:lang w:val="en-US"/>
        </w:rPr>
      </w:pPr>
    </w:p>
    <w:p w14:paraId="4096B42A" w14:textId="77777777" w:rsidR="006F7304" w:rsidRDefault="006F7304" w:rsidP="001501C4">
      <w:pPr>
        <w:spacing w:before="0" w:line="240" w:lineRule="auto"/>
        <w:rPr>
          <w:rFonts w:ascii="Arial" w:hAnsi="Arial"/>
          <w:lang w:val="en-US"/>
        </w:rPr>
      </w:pPr>
    </w:p>
    <w:p w14:paraId="0A7E7B01" w14:textId="77777777" w:rsidR="006F7304" w:rsidRDefault="006F7304" w:rsidP="001501C4">
      <w:pPr>
        <w:spacing w:before="0" w:line="240" w:lineRule="auto"/>
        <w:rPr>
          <w:rFonts w:ascii="Arial" w:hAnsi="Arial"/>
          <w:lang w:val="en-US"/>
        </w:rPr>
      </w:pPr>
    </w:p>
    <w:p w14:paraId="39C3F66F" w14:textId="77777777" w:rsidR="006F7304" w:rsidRDefault="006F7304" w:rsidP="001501C4">
      <w:pPr>
        <w:spacing w:before="0" w:line="240" w:lineRule="auto"/>
        <w:rPr>
          <w:rFonts w:ascii="Arial" w:hAnsi="Arial"/>
          <w:lang w:val="en-US"/>
        </w:rPr>
      </w:pPr>
    </w:p>
    <w:p w14:paraId="723FA206" w14:textId="2D532056" w:rsidR="001501C4" w:rsidRDefault="001501C4" w:rsidP="001501C4">
      <w:pPr>
        <w:spacing w:before="0" w:line="240" w:lineRule="auto"/>
        <w:rPr>
          <w:rFonts w:ascii="Arial" w:hAnsi="Arial"/>
          <w:lang w:val="en-US"/>
        </w:rPr>
      </w:pPr>
      <w:r w:rsidRPr="007433B6">
        <w:rPr>
          <w:rFonts w:ascii="Arial" w:hAnsi="Arial"/>
          <w:lang w:val="en-US"/>
        </w:rPr>
        <w:t xml:space="preserve">The ready-to-progress criteria are </w:t>
      </w:r>
      <w:proofErr w:type="spellStart"/>
      <w:r w:rsidRPr="007433B6">
        <w:rPr>
          <w:rFonts w:ascii="Arial" w:hAnsi="Arial"/>
          <w:lang w:val="en-US"/>
        </w:rPr>
        <w:t>organised</w:t>
      </w:r>
      <w:proofErr w:type="spellEnd"/>
      <w:r w:rsidRPr="007433B6">
        <w:rPr>
          <w:rFonts w:ascii="Arial" w:hAnsi="Arial"/>
          <w:lang w:val="en-US"/>
        </w:rPr>
        <w:t xml:space="preserve"> into </w:t>
      </w:r>
      <w:r w:rsidR="00FE418B">
        <w:rPr>
          <w:rFonts w:ascii="Arial" w:hAnsi="Arial"/>
          <w:lang w:val="en-US"/>
        </w:rPr>
        <w:t>six</w:t>
      </w:r>
      <w:r w:rsidRPr="007433B6">
        <w:rPr>
          <w:rFonts w:ascii="Arial" w:hAnsi="Arial"/>
          <w:lang w:val="en-US"/>
        </w:rPr>
        <w:t xml:space="preserve"> strands:</w:t>
      </w:r>
    </w:p>
    <w:p w14:paraId="3A4F7818" w14:textId="77777777" w:rsidR="00472366" w:rsidRPr="007433B6" w:rsidRDefault="00472366" w:rsidP="001501C4">
      <w:pPr>
        <w:spacing w:before="0" w:line="240" w:lineRule="auto"/>
        <w:rPr>
          <w:rFonts w:ascii="Arial" w:hAnsi="Arial"/>
          <w:lang w:val="en-US"/>
        </w:rPr>
      </w:pPr>
    </w:p>
    <w:p w14:paraId="0E37C482" w14:textId="33B347CC" w:rsidR="001501C4" w:rsidRDefault="001501C4" w:rsidP="001501C4">
      <w:pPr>
        <w:spacing w:before="0" w:line="240" w:lineRule="auto"/>
        <w:jc w:val="center"/>
        <w:rPr>
          <w:rFonts w:ascii="Arial" w:hAnsi="Arial"/>
          <w:lang w:val="en-US"/>
        </w:rPr>
      </w:pPr>
      <w:r w:rsidRPr="007433B6">
        <w:rPr>
          <w:rFonts w:ascii="Arial" w:hAnsi="Arial"/>
          <w:noProof/>
        </w:rPr>
        <w:drawing>
          <wp:inline distT="0" distB="0" distL="0" distR="0" wp14:anchorId="6BE5BFFD" wp14:editId="7DF6F5EA">
            <wp:extent cx="4275670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656" cy="263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31C47" w14:textId="0EDD83CD" w:rsidR="007C0700" w:rsidRDefault="007C0700" w:rsidP="007C0700">
      <w:pPr>
        <w:spacing w:before="0" w:line="240" w:lineRule="auto"/>
        <w:jc w:val="right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 xml:space="preserve">p7 </w:t>
      </w:r>
      <w:hyperlink r:id="rId16" w:history="1">
        <w:r w:rsidRPr="007C0700">
          <w:rPr>
            <w:rStyle w:val="Hyperlink"/>
            <w:rFonts w:ascii="Arial" w:hAnsi="Arial"/>
            <w:sz w:val="16"/>
            <w:szCs w:val="16"/>
            <w:lang w:val="en-US"/>
          </w:rPr>
          <w:t>DfE Teaching Mathematics in Primary Schools July 2020</w:t>
        </w:r>
      </w:hyperlink>
    </w:p>
    <w:p w14:paraId="7FD63599" w14:textId="77777777" w:rsidR="007C0700" w:rsidRDefault="007C0700" w:rsidP="001501C4">
      <w:pPr>
        <w:spacing w:before="0" w:line="240" w:lineRule="auto"/>
        <w:jc w:val="center"/>
        <w:rPr>
          <w:rFonts w:ascii="Arial" w:hAnsi="Arial"/>
          <w:lang w:val="en-US"/>
        </w:rPr>
      </w:pPr>
    </w:p>
    <w:p w14:paraId="68E583FD" w14:textId="77777777" w:rsidR="00E16E37" w:rsidRPr="007433B6" w:rsidRDefault="00E16E37" w:rsidP="001501C4">
      <w:pPr>
        <w:spacing w:before="0" w:line="240" w:lineRule="auto"/>
        <w:jc w:val="center"/>
        <w:rPr>
          <w:rFonts w:ascii="Arial" w:hAnsi="Arial"/>
          <w:lang w:val="en-US"/>
        </w:rPr>
      </w:pPr>
    </w:p>
    <w:p w14:paraId="0C7A5A50" w14:textId="6E6204EE" w:rsidR="001501C4" w:rsidRPr="007433B6" w:rsidRDefault="001501C4" w:rsidP="001501C4">
      <w:pPr>
        <w:spacing w:before="0" w:line="240" w:lineRule="auto"/>
        <w:rPr>
          <w:rFonts w:ascii="Arial" w:hAnsi="Arial"/>
          <w:lang w:val="en-US"/>
        </w:rPr>
      </w:pPr>
      <w:r w:rsidRPr="007433B6">
        <w:rPr>
          <w:rFonts w:ascii="Arial" w:hAnsi="Arial"/>
          <w:lang w:val="en-US"/>
        </w:rPr>
        <w:t>There are 12 ready</w:t>
      </w:r>
      <w:r w:rsidR="00283945">
        <w:rPr>
          <w:rFonts w:ascii="Arial" w:hAnsi="Arial"/>
          <w:lang w:val="en-US"/>
        </w:rPr>
        <w:t>-</w:t>
      </w:r>
      <w:r w:rsidRPr="007433B6">
        <w:rPr>
          <w:rFonts w:ascii="Arial" w:hAnsi="Arial"/>
          <w:lang w:val="en-US"/>
        </w:rPr>
        <w:t>to</w:t>
      </w:r>
      <w:r w:rsidR="00283945">
        <w:rPr>
          <w:rFonts w:ascii="Arial" w:hAnsi="Arial"/>
          <w:lang w:val="en-US"/>
        </w:rPr>
        <w:t>-</w:t>
      </w:r>
      <w:r w:rsidRPr="007433B6">
        <w:rPr>
          <w:rFonts w:ascii="Arial" w:hAnsi="Arial"/>
          <w:lang w:val="en-US"/>
        </w:rPr>
        <w:t>progress criteria</w:t>
      </w:r>
      <w:r w:rsidR="006F7304">
        <w:rPr>
          <w:rFonts w:ascii="Arial" w:hAnsi="Arial"/>
          <w:lang w:val="en-US"/>
        </w:rPr>
        <w:t xml:space="preserve"> for</w:t>
      </w:r>
      <w:r w:rsidR="006F7304" w:rsidRPr="006F7304">
        <w:rPr>
          <w:rFonts w:ascii="Arial" w:hAnsi="Arial"/>
          <w:lang w:val="en-US"/>
        </w:rPr>
        <w:t xml:space="preserve"> </w:t>
      </w:r>
      <w:r w:rsidR="006F7304" w:rsidRPr="007433B6">
        <w:rPr>
          <w:rFonts w:ascii="Arial" w:hAnsi="Arial"/>
          <w:lang w:val="en-US"/>
        </w:rPr>
        <w:t>Year 6</w:t>
      </w:r>
      <w:r w:rsidRPr="007433B6">
        <w:rPr>
          <w:rFonts w:ascii="Arial" w:hAnsi="Arial"/>
          <w:lang w:val="en-US"/>
        </w:rPr>
        <w:t>, each one linking to a key idea in the K</w:t>
      </w:r>
      <w:r w:rsidR="00FE418B">
        <w:rPr>
          <w:rFonts w:ascii="Arial" w:hAnsi="Arial"/>
          <w:lang w:val="en-US"/>
        </w:rPr>
        <w:t xml:space="preserve">ey </w:t>
      </w:r>
      <w:r w:rsidRPr="007433B6">
        <w:rPr>
          <w:rFonts w:ascii="Arial" w:hAnsi="Arial"/>
          <w:lang w:val="en-US"/>
        </w:rPr>
        <w:t>S</w:t>
      </w:r>
      <w:r w:rsidR="00FE418B">
        <w:rPr>
          <w:rFonts w:ascii="Arial" w:hAnsi="Arial"/>
          <w:lang w:val="en-US"/>
        </w:rPr>
        <w:t xml:space="preserve">tage </w:t>
      </w:r>
      <w:r w:rsidRPr="007433B6">
        <w:rPr>
          <w:rFonts w:ascii="Arial" w:hAnsi="Arial"/>
          <w:lang w:val="en-US"/>
        </w:rPr>
        <w:t xml:space="preserve">3 curriculum and these are listed in </w:t>
      </w:r>
      <w:r w:rsidRPr="00B955E9">
        <w:rPr>
          <w:rFonts w:ascii="Arial" w:hAnsi="Arial"/>
          <w:lang w:val="en-US"/>
        </w:rPr>
        <w:t>the appendix</w:t>
      </w:r>
      <w:r w:rsidRPr="007433B6">
        <w:rPr>
          <w:rFonts w:ascii="Arial" w:hAnsi="Arial"/>
          <w:lang w:val="en-US"/>
        </w:rPr>
        <w:t xml:space="preserve"> to this document</w:t>
      </w:r>
      <w:r w:rsidR="00FE418B">
        <w:rPr>
          <w:rFonts w:ascii="Arial" w:hAnsi="Arial"/>
          <w:lang w:val="en-US"/>
        </w:rPr>
        <w:t>.</w:t>
      </w:r>
    </w:p>
    <w:p w14:paraId="4CE7738C" w14:textId="77777777" w:rsidR="001501C4" w:rsidRPr="007433B6" w:rsidRDefault="001501C4" w:rsidP="001501C4">
      <w:pPr>
        <w:spacing w:before="0" w:line="240" w:lineRule="auto"/>
        <w:rPr>
          <w:rFonts w:ascii="Arial" w:hAnsi="Arial"/>
          <w:lang w:val="en-US"/>
        </w:rPr>
      </w:pPr>
    </w:p>
    <w:p w14:paraId="66489C72" w14:textId="690C5E5A" w:rsidR="001501C4" w:rsidRPr="007433B6" w:rsidRDefault="001501C4" w:rsidP="001501C4">
      <w:pPr>
        <w:spacing w:before="0" w:line="240" w:lineRule="auto"/>
        <w:rPr>
          <w:rFonts w:ascii="Arial" w:hAnsi="Arial"/>
          <w:lang w:val="en-US"/>
        </w:rPr>
      </w:pPr>
      <w:r w:rsidRPr="007433B6">
        <w:rPr>
          <w:rFonts w:ascii="Arial" w:hAnsi="Arial"/>
          <w:lang w:val="en-US"/>
        </w:rPr>
        <w:t>These ready</w:t>
      </w:r>
      <w:r w:rsidR="00283945">
        <w:rPr>
          <w:rFonts w:ascii="Arial" w:hAnsi="Arial"/>
          <w:lang w:val="en-US"/>
        </w:rPr>
        <w:t>-</w:t>
      </w:r>
      <w:r w:rsidRPr="007433B6">
        <w:rPr>
          <w:rFonts w:ascii="Arial" w:hAnsi="Arial"/>
          <w:lang w:val="en-US"/>
        </w:rPr>
        <w:t>to</w:t>
      </w:r>
      <w:r w:rsidR="00283945">
        <w:rPr>
          <w:rFonts w:ascii="Arial" w:hAnsi="Arial"/>
          <w:lang w:val="en-US"/>
        </w:rPr>
        <w:t>-</w:t>
      </w:r>
      <w:r w:rsidRPr="007433B6">
        <w:rPr>
          <w:rFonts w:ascii="Arial" w:hAnsi="Arial"/>
          <w:lang w:val="en-US"/>
        </w:rPr>
        <w:t xml:space="preserve">progress criteria usefully cluster into </w:t>
      </w:r>
      <w:r w:rsidR="00FE418B">
        <w:rPr>
          <w:rFonts w:ascii="Arial" w:hAnsi="Arial"/>
          <w:lang w:val="en-US"/>
        </w:rPr>
        <w:t>four</w:t>
      </w:r>
      <w:r w:rsidRPr="007433B6">
        <w:rPr>
          <w:rFonts w:ascii="Arial" w:hAnsi="Arial"/>
          <w:lang w:val="en-US"/>
        </w:rPr>
        <w:t xml:space="preserve"> key ideas and this suite of documents outlines:</w:t>
      </w:r>
    </w:p>
    <w:p w14:paraId="0AA6B269" w14:textId="77777777" w:rsidR="001501C4" w:rsidRPr="007433B6" w:rsidRDefault="001501C4" w:rsidP="001501C4">
      <w:pPr>
        <w:spacing w:before="0" w:line="240" w:lineRule="auto"/>
        <w:rPr>
          <w:rFonts w:ascii="Arial" w:hAnsi="Arial"/>
          <w:lang w:val="en-US"/>
        </w:rPr>
      </w:pPr>
    </w:p>
    <w:p w14:paraId="38171653" w14:textId="77777777" w:rsidR="001501C4" w:rsidRPr="006B00C3" w:rsidRDefault="001501C4" w:rsidP="001501C4">
      <w:pPr>
        <w:pStyle w:val="ListParagraph"/>
        <w:numPr>
          <w:ilvl w:val="0"/>
          <w:numId w:val="17"/>
        </w:numPr>
        <w:spacing w:after="0" w:line="240" w:lineRule="auto"/>
        <w:ind w:left="810"/>
        <w:rPr>
          <w:rFonts w:ascii="Arial" w:hAnsi="Arial" w:cs="Arial"/>
          <w:color w:val="595959"/>
          <w:sz w:val="20"/>
          <w:szCs w:val="20"/>
          <w:lang w:val="en-US"/>
        </w:rPr>
      </w:pPr>
      <w:r w:rsidRPr="006B00C3">
        <w:rPr>
          <w:rFonts w:ascii="Arial" w:hAnsi="Arial" w:cs="Arial"/>
          <w:color w:val="595959"/>
          <w:sz w:val="20"/>
          <w:szCs w:val="20"/>
          <w:lang w:val="en-US"/>
        </w:rPr>
        <w:t>what these key ideas are</w:t>
      </w:r>
    </w:p>
    <w:p w14:paraId="68C0401F" w14:textId="77777777" w:rsidR="001501C4" w:rsidRPr="006B00C3" w:rsidRDefault="001501C4" w:rsidP="001501C4">
      <w:pPr>
        <w:pStyle w:val="ListParagraph"/>
        <w:numPr>
          <w:ilvl w:val="0"/>
          <w:numId w:val="17"/>
        </w:numPr>
        <w:spacing w:after="0" w:line="240" w:lineRule="auto"/>
        <w:ind w:left="810"/>
        <w:rPr>
          <w:rFonts w:ascii="Arial" w:hAnsi="Arial" w:cs="Arial"/>
          <w:color w:val="595959"/>
          <w:sz w:val="20"/>
          <w:szCs w:val="20"/>
          <w:lang w:val="en-US"/>
        </w:rPr>
      </w:pPr>
      <w:r w:rsidRPr="006B00C3">
        <w:rPr>
          <w:rFonts w:ascii="Arial" w:hAnsi="Arial" w:cs="Arial"/>
          <w:color w:val="595959"/>
          <w:sz w:val="20"/>
          <w:szCs w:val="20"/>
          <w:lang w:val="en-US"/>
        </w:rPr>
        <w:t>what pupils need to be able to understand and do</w:t>
      </w:r>
    </w:p>
    <w:p w14:paraId="3268DA87" w14:textId="09B96E79" w:rsidR="001501C4" w:rsidRPr="006B00C3" w:rsidRDefault="001501C4" w:rsidP="001501C4">
      <w:pPr>
        <w:pStyle w:val="ListParagraph"/>
        <w:numPr>
          <w:ilvl w:val="0"/>
          <w:numId w:val="17"/>
        </w:numPr>
        <w:spacing w:after="0" w:line="240" w:lineRule="auto"/>
        <w:ind w:left="810"/>
        <w:rPr>
          <w:rFonts w:ascii="Arial" w:hAnsi="Arial" w:cs="Arial"/>
          <w:color w:val="595959"/>
          <w:lang w:val="en-US"/>
        </w:rPr>
      </w:pPr>
      <w:r w:rsidRPr="006B00C3">
        <w:rPr>
          <w:rFonts w:ascii="Arial" w:hAnsi="Arial" w:cs="Arial"/>
          <w:color w:val="595959"/>
          <w:sz w:val="20"/>
          <w:szCs w:val="20"/>
          <w:lang w:val="en-US"/>
        </w:rPr>
        <w:t>why the ideas are important and how they are built on in Key Stage 3</w:t>
      </w:r>
      <w:r w:rsidR="005D37D1">
        <w:rPr>
          <w:rFonts w:ascii="Arial" w:hAnsi="Arial" w:cs="Arial"/>
          <w:color w:val="595959"/>
          <w:sz w:val="20"/>
          <w:szCs w:val="20"/>
          <w:lang w:val="en-US"/>
        </w:rPr>
        <w:t>.</w:t>
      </w:r>
    </w:p>
    <w:p w14:paraId="6C996310" w14:textId="77777777" w:rsidR="001501C4" w:rsidRDefault="001501C4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04808B1D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1EC06AAD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7E1111FE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53FC8EB5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3ED4D67F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511C18F1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16421666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4ADD792E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7156414B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360C3B63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0AD3C83B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35BCD9D8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3687D368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2DD80C0B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082A850A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15FF9996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4F70FF98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4EC1FB08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5A29B7B5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0A32749A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12801013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434A0B5D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22958CB0" w14:textId="77777777" w:rsidR="005C5EC5" w:rsidRDefault="005C5EC5" w:rsidP="001501C4">
      <w:pPr>
        <w:spacing w:before="0" w:line="240" w:lineRule="auto"/>
        <w:rPr>
          <w:rFonts w:ascii="Arial" w:eastAsiaTheme="minorHAnsi" w:hAnsi="Arial"/>
          <w:sz w:val="22"/>
          <w:szCs w:val="22"/>
          <w:lang w:val="en-US" w:eastAsia="en-US"/>
        </w:rPr>
      </w:pPr>
    </w:p>
    <w:p w14:paraId="7B942AC8" w14:textId="0FE22A48" w:rsidR="005C5EC5" w:rsidRPr="007433B6" w:rsidRDefault="005C5EC5" w:rsidP="005C5EC5">
      <w:pPr>
        <w:spacing w:before="0" w:line="240" w:lineRule="auto"/>
        <w:jc w:val="right"/>
        <w:rPr>
          <w:rFonts w:ascii="Arial" w:eastAsiaTheme="minorHAnsi" w:hAnsi="Arial"/>
          <w:sz w:val="22"/>
          <w:szCs w:val="22"/>
          <w:lang w:val="en-US" w:eastAsia="en-US"/>
        </w:rPr>
        <w:sectPr w:rsidR="005C5EC5" w:rsidRPr="007433B6" w:rsidSect="00EE33CF">
          <w:headerReference w:type="default" r:id="rId17"/>
          <w:pgSz w:w="11906" w:h="16838"/>
          <w:pgMar w:top="1701" w:right="907" w:bottom="567" w:left="1134" w:header="675" w:footer="709" w:gutter="0"/>
          <w:cols w:space="720"/>
        </w:sectPr>
      </w:pPr>
      <w:r>
        <w:rPr>
          <w:rFonts w:ascii="Arial" w:eastAsiaTheme="minorHAnsi" w:hAnsi="Arial"/>
          <w:sz w:val="22"/>
          <w:szCs w:val="22"/>
          <w:lang w:val="en-US" w:eastAsia="en-US"/>
        </w:rPr>
        <w:t>August 2020</w:t>
      </w:r>
    </w:p>
    <w:p w14:paraId="7E3A2E44" w14:textId="77777777" w:rsidR="001501C4" w:rsidRPr="00472366" w:rsidRDefault="001501C4" w:rsidP="001501C4">
      <w:pPr>
        <w:spacing w:before="0" w:line="240" w:lineRule="auto"/>
        <w:rPr>
          <w:rFonts w:ascii="Arial" w:hAnsi="Arial"/>
          <w:b/>
          <w:sz w:val="40"/>
          <w:lang w:val="en-US"/>
        </w:rPr>
      </w:pPr>
      <w:bookmarkStart w:id="0" w:name="Appendix"/>
      <w:r w:rsidRPr="00472366">
        <w:rPr>
          <w:rFonts w:ascii="Arial" w:hAnsi="Arial"/>
          <w:b/>
          <w:bCs w:val="0"/>
          <w:sz w:val="40"/>
          <w:lang w:val="en-US"/>
        </w:rPr>
        <w:lastRenderedPageBreak/>
        <w:t>Appendix</w:t>
      </w:r>
    </w:p>
    <w:bookmarkEnd w:id="0"/>
    <w:p w14:paraId="190DF166" w14:textId="523552EB" w:rsidR="001501C4" w:rsidRPr="005C5EC5" w:rsidRDefault="001501C4" w:rsidP="001501C4">
      <w:pPr>
        <w:spacing w:before="0" w:line="240" w:lineRule="auto"/>
        <w:rPr>
          <w:rFonts w:ascii="Arial" w:hAnsi="Arial"/>
          <w:b/>
          <w:bCs w:val="0"/>
          <w:color w:val="00628C"/>
          <w:szCs w:val="20"/>
          <w:lang w:val="en-US"/>
        </w:rPr>
      </w:pPr>
    </w:p>
    <w:p w14:paraId="62BAE6D2" w14:textId="43F00617" w:rsidR="007C0700" w:rsidRDefault="007C0700" w:rsidP="001501C4">
      <w:pPr>
        <w:spacing w:before="0" w:line="240" w:lineRule="auto"/>
        <w:rPr>
          <w:rFonts w:ascii="Arial" w:hAnsi="Arial"/>
          <w:b/>
          <w:bCs w:val="0"/>
          <w:color w:val="00628C"/>
          <w:sz w:val="22"/>
          <w:szCs w:val="22"/>
          <w:lang w:val="en-US"/>
        </w:rPr>
      </w:pPr>
    </w:p>
    <w:p w14:paraId="6A267147" w14:textId="6DA3AD9F" w:rsidR="007C0700" w:rsidRPr="00D25896" w:rsidRDefault="007C0700" w:rsidP="00D25896">
      <w:pPr>
        <w:rPr>
          <w:rFonts w:ascii="Arial" w:hAnsi="Arial"/>
          <w:lang w:val="en-US"/>
        </w:rPr>
      </w:pPr>
      <w:r w:rsidRPr="00D25896">
        <w:rPr>
          <w:rFonts w:ascii="Arial" w:hAnsi="Arial"/>
          <w:lang w:val="en-US"/>
        </w:rPr>
        <w:t xml:space="preserve">These tables </w:t>
      </w:r>
      <w:r w:rsidR="005C5EC5" w:rsidRPr="00D25896">
        <w:rPr>
          <w:rFonts w:ascii="Arial" w:hAnsi="Arial"/>
          <w:lang w:val="en-US"/>
        </w:rPr>
        <w:t>group the DfE ready-to-progress criteria into four key ideas. Each key idea aligns with a document in this ‘Shaping the Year 7 curriculum’ suite of materials.</w:t>
      </w:r>
    </w:p>
    <w:p w14:paraId="7C9FE348" w14:textId="77777777" w:rsidR="005C5EC5" w:rsidRPr="005C5EC5" w:rsidRDefault="005C5EC5" w:rsidP="001501C4">
      <w:pPr>
        <w:spacing w:before="0" w:line="240" w:lineRule="auto"/>
        <w:rPr>
          <w:rFonts w:ascii="Arial" w:hAnsi="Arial"/>
          <w:color w:val="00628C"/>
          <w:sz w:val="22"/>
          <w:szCs w:val="22"/>
          <w:lang w:val="en-US"/>
        </w:rPr>
      </w:pPr>
    </w:p>
    <w:tbl>
      <w:tblPr>
        <w:tblStyle w:val="TableGrid"/>
        <w:tblW w:w="9180" w:type="dxa"/>
        <w:tblInd w:w="-185" w:type="dxa"/>
        <w:tblLook w:val="04A0" w:firstRow="1" w:lastRow="0" w:firstColumn="1" w:lastColumn="0" w:noHBand="0" w:noVBand="1"/>
      </w:tblPr>
      <w:tblGrid>
        <w:gridCol w:w="900"/>
        <w:gridCol w:w="4088"/>
        <w:gridCol w:w="4192"/>
      </w:tblGrid>
      <w:tr w:rsidR="001501C4" w:rsidRPr="001E6840" w14:paraId="60D741F7" w14:textId="77777777" w:rsidTr="001E6840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91EC" w14:textId="77777777" w:rsidR="001501C4" w:rsidRPr="001E6840" w:rsidRDefault="001501C4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E997" w14:textId="77777777" w:rsidR="001501C4" w:rsidRPr="001E6840" w:rsidRDefault="001501C4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1E6840">
              <w:rPr>
                <w:rFonts w:ascii="Arial" w:hAnsi="Arial" w:cs="Arial"/>
                <w:sz w:val="24"/>
                <w:szCs w:val="24"/>
                <w:lang w:val="en-US" w:eastAsia="en-US"/>
              </w:rPr>
              <w:t>Year 6 ready-to-progress criteria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4469" w14:textId="77777777" w:rsidR="001501C4" w:rsidRPr="001E6840" w:rsidRDefault="001501C4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1E6840">
              <w:rPr>
                <w:rFonts w:ascii="Arial" w:hAnsi="Arial" w:cs="Arial"/>
                <w:sz w:val="24"/>
                <w:szCs w:val="24"/>
                <w:lang w:val="en-US" w:eastAsia="en-US"/>
              </w:rPr>
              <w:t>Key Stage 3 applications</w:t>
            </w:r>
          </w:p>
        </w:tc>
      </w:tr>
      <w:tr w:rsidR="001501C4" w:rsidRPr="007433B6" w14:paraId="218A8C51" w14:textId="77777777" w:rsidTr="001E6840">
        <w:trPr>
          <w:trHeight w:val="85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A880F" w14:textId="77777777" w:rsidR="001501C4" w:rsidRPr="007433B6" w:rsidRDefault="001501C4">
            <w:pPr>
              <w:spacing w:before="0" w:line="240" w:lineRule="auto"/>
              <w:ind w:left="113" w:right="113"/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sz w:val="28"/>
                <w:szCs w:val="28"/>
                <w:lang w:val="en-US" w:eastAsia="en-US"/>
              </w:rPr>
              <w:t>Key Idea 1: A deep understanding of place value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6D6E" w14:textId="304473B5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sz w:val="22"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lang w:val="en-US" w:eastAsia="en-US"/>
              </w:rPr>
              <w:t>6NPV–1 Powers of 10</w:t>
            </w:r>
            <w:r w:rsidR="00A3157B">
              <w:rPr>
                <w:rFonts w:ascii="Arial" w:hAnsi="Arial" w:cs="Arial"/>
                <w:b w:val="0"/>
                <w:bCs/>
                <w:lang w:val="en-US" w:eastAsia="en-US"/>
              </w:rPr>
              <w:t xml:space="preserve"> </w:t>
            </w:r>
          </w:p>
          <w:p w14:paraId="55FD07D3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Understand the relationship between powers of 10 from 1 hundredth to 10 million, and use this to make a given number 10, 100, 1,000, 1 tenth, 1 hundredth or 1 thousandth times the size (multiply and divide by 10, 100 and 1,000).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14F3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Understand and use place value for decimals, measures, and integers of any size. Interpret and compare numbers in standard form A × 10</w:t>
            </w:r>
            <w:r w:rsidRPr="007433B6">
              <w:rPr>
                <w:rFonts w:ascii="Arial" w:hAnsi="Arial" w:cs="Arial"/>
                <w:vertAlign w:val="superscript"/>
                <w:lang w:val="en-US" w:eastAsia="en-US"/>
              </w:rPr>
              <w:t>n</w:t>
            </w:r>
            <w:r w:rsidRPr="007433B6">
              <w:rPr>
                <w:rFonts w:ascii="Arial" w:hAnsi="Arial" w:cs="Arial"/>
                <w:lang w:val="en-US" w:eastAsia="en-US"/>
              </w:rPr>
              <w:t xml:space="preserve"> (1 ≤ A &lt; 10), where n is a positive or negative integer or zero.</w:t>
            </w:r>
          </w:p>
        </w:tc>
      </w:tr>
      <w:tr w:rsidR="001501C4" w:rsidRPr="007433B6" w14:paraId="1F54A38B" w14:textId="77777777" w:rsidTr="001E6840">
        <w:trPr>
          <w:trHeight w:val="71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B154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BC4E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lang w:val="en-US" w:eastAsia="en-US"/>
              </w:rPr>
              <w:t xml:space="preserve">6NPV–2 Place value in numbers up to 10,000,000 </w:t>
            </w:r>
          </w:p>
          <w:p w14:paraId="09A4DF8B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Recognise the place value of each digit in numbers up to 10 million, including decimal fractions, and compose and decompose numbers up to 10 million using standard and non-standard partitioning.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9DDB" w14:textId="4D17B5E1" w:rsidR="001501C4" w:rsidRPr="007433B6" w:rsidRDefault="001501C4">
            <w:pPr>
              <w:spacing w:before="0" w:line="240" w:lineRule="auto"/>
              <w:rPr>
                <w:rFonts w:ascii="Arial" w:hAnsi="Arial" w:cs="Arial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Understand and use place value for decimals, measures, and integers of any size.</w:t>
            </w:r>
            <w:r w:rsidR="00A3157B">
              <w:rPr>
                <w:rFonts w:ascii="Arial" w:hAnsi="Arial" w:cs="Arial"/>
                <w:lang w:val="en-US" w:eastAsia="en-US"/>
              </w:rPr>
              <w:t xml:space="preserve"> </w:t>
            </w:r>
            <w:r w:rsidRPr="007433B6">
              <w:rPr>
                <w:rFonts w:ascii="Arial" w:hAnsi="Arial" w:cs="Arial"/>
                <w:lang w:val="en-US" w:eastAsia="en-US"/>
              </w:rPr>
              <w:t>Order positive and negative integers, decimals, and fractions. Use a calculator and other technologies to calculate results accurately and then interpret them appropriately.</w:t>
            </w:r>
          </w:p>
        </w:tc>
      </w:tr>
      <w:tr w:rsidR="001501C4" w:rsidRPr="007433B6" w14:paraId="74B5117B" w14:textId="77777777" w:rsidTr="001E6840">
        <w:trPr>
          <w:trHeight w:val="86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BBD4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6D90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lang w:val="en-US" w:eastAsia="en-US"/>
              </w:rPr>
              <w:t xml:space="preserve">6NPV–3 Numbers up to 10 million in the linear number system </w:t>
            </w:r>
          </w:p>
          <w:p w14:paraId="31C3F3F9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Reason about the location of any number up to 10 million, including decimal fractions, in the linear number system, and round numbers, as appropriate, including in contexts.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55F2" w14:textId="21A94B63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Order positive and negative integers, decimals, and fractions; use the number line as a model for ordering of the real numbers; use the symbols =, ≠, &lt;, &gt;, ≤, ≥</w:t>
            </w:r>
            <w:r w:rsidR="00A3157B">
              <w:rPr>
                <w:rFonts w:ascii="Arial" w:hAnsi="Arial" w:cs="Arial"/>
                <w:lang w:val="en-US" w:eastAsia="en-US"/>
              </w:rPr>
              <w:t xml:space="preserve"> </w:t>
            </w:r>
            <w:r w:rsidRPr="007433B6">
              <w:rPr>
                <w:rFonts w:ascii="Arial" w:hAnsi="Arial" w:cs="Arial"/>
                <w:lang w:val="en-US" w:eastAsia="en-US"/>
              </w:rPr>
              <w:t xml:space="preserve"> Round numbers and measures to an appropriate degree of accuracy (for example, to a number of decimal places or significant figures). Use approximation through rounding to estimate answers and calculate possible resulting errors expressed using inequality notation a &lt; x ≤ b</w:t>
            </w:r>
            <w:r w:rsidR="00B10BCF">
              <w:rPr>
                <w:rFonts w:ascii="Arial" w:hAnsi="Arial" w:cs="Arial"/>
                <w:lang w:val="en-US" w:eastAsia="en-US"/>
              </w:rPr>
              <w:t>.</w:t>
            </w:r>
          </w:p>
        </w:tc>
      </w:tr>
      <w:tr w:rsidR="001501C4" w:rsidRPr="007433B6" w14:paraId="300CE04B" w14:textId="77777777" w:rsidTr="001E6840">
        <w:trPr>
          <w:trHeight w:val="71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A374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7814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lang w:val="en-US" w:eastAsia="en-US"/>
              </w:rPr>
              <w:t xml:space="preserve">6NPV–4 Reading scales with 2, 4, 5 or 10 intervals </w:t>
            </w:r>
          </w:p>
          <w:p w14:paraId="42565010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Divide powers of 10, from 1 hundredth to 10 million, into 2, 4, 5 and 10 equal parts, and read scales/number lines with labelled intervals divided into 2, 4, 5 and 10 equal parts.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4384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Use standard units of mass length, time, money, and other measures, including with decimal quantities. Construct and interpret appropriate tables, charts, and diagrams.</w:t>
            </w:r>
          </w:p>
        </w:tc>
      </w:tr>
    </w:tbl>
    <w:p w14:paraId="79055FB4" w14:textId="77777777" w:rsidR="001501C4" w:rsidRPr="007433B6" w:rsidRDefault="001501C4" w:rsidP="001501C4">
      <w:pPr>
        <w:spacing w:before="0" w:line="240" w:lineRule="auto"/>
        <w:rPr>
          <w:rFonts w:ascii="Arial" w:hAnsi="Arial"/>
          <w:szCs w:val="20"/>
        </w:rPr>
      </w:pPr>
      <w:r w:rsidRPr="007433B6">
        <w:rPr>
          <w:rFonts w:ascii="Arial" w:hAnsi="Arial"/>
        </w:rPr>
        <w:br w:type="page"/>
      </w: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900"/>
        <w:gridCol w:w="4050"/>
        <w:gridCol w:w="4320"/>
      </w:tblGrid>
      <w:tr w:rsidR="001E6840" w:rsidRPr="001E6840" w14:paraId="522330AD" w14:textId="77777777" w:rsidTr="001E6840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FD2" w14:textId="77777777" w:rsidR="001E6840" w:rsidRPr="001E6840" w:rsidRDefault="001E6840">
            <w:pPr>
              <w:spacing w:before="0" w:line="240" w:lineRule="auto"/>
              <w:ind w:left="115" w:right="115"/>
              <w:jc w:val="center"/>
              <w:rPr>
                <w:rFonts w:ascii="Arial" w:hAnsi="Arial"/>
                <w:sz w:val="24"/>
                <w:szCs w:val="24"/>
                <w:lang w:val="en-US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D02" w14:textId="1EBA078F" w:rsidR="001E6840" w:rsidRPr="001E6840" w:rsidRDefault="001E6840" w:rsidP="001E6840">
            <w:pPr>
              <w:spacing w:before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1E6840">
              <w:rPr>
                <w:rFonts w:ascii="Arial" w:hAnsi="Arial" w:cs="Arial"/>
                <w:sz w:val="24"/>
                <w:szCs w:val="24"/>
                <w:lang w:val="en-US" w:eastAsia="en-US"/>
              </w:rPr>
              <w:t>Year 6 ready-to-progress criteria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587" w14:textId="16F573D6" w:rsidR="001E6840" w:rsidRPr="001E6840" w:rsidRDefault="001E6840" w:rsidP="001E6840">
            <w:pPr>
              <w:spacing w:before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1E6840">
              <w:rPr>
                <w:rFonts w:ascii="Arial" w:hAnsi="Arial" w:cs="Arial"/>
                <w:sz w:val="24"/>
                <w:szCs w:val="24"/>
                <w:lang w:val="en-US" w:eastAsia="en-US"/>
              </w:rPr>
              <w:t>Key Stage 3 applications</w:t>
            </w:r>
          </w:p>
        </w:tc>
      </w:tr>
      <w:tr w:rsidR="001501C4" w:rsidRPr="007433B6" w14:paraId="3BCA71F8" w14:textId="77777777" w:rsidTr="001E6840">
        <w:trPr>
          <w:trHeight w:val="1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358103" w14:textId="77777777" w:rsidR="001501C4" w:rsidRPr="007433B6" w:rsidRDefault="001501C4">
            <w:pPr>
              <w:spacing w:before="0" w:line="240" w:lineRule="auto"/>
              <w:ind w:left="115" w:right="115"/>
              <w:jc w:val="center"/>
              <w:rPr>
                <w:rFonts w:ascii="Arial" w:hAnsi="Arial" w:cs="Arial"/>
                <w:bCs/>
                <w:sz w:val="28"/>
                <w:szCs w:val="28"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sz w:val="28"/>
                <w:szCs w:val="28"/>
                <w:lang w:val="en-US" w:eastAsia="en-US"/>
              </w:rPr>
              <w:t>Key Idea 2: Understanding additive and multiplicative structures and using them to solve problems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3D69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sz w:val="22"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lang w:val="en-US" w:eastAsia="en-US"/>
              </w:rPr>
              <w:t xml:space="preserve">6AS/MD–1 Quantify additive and multiplicative relationships </w:t>
            </w:r>
          </w:p>
          <w:p w14:paraId="2277BF83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Understand that 2 numbers can be related additively or multiplicatively and quantify additive and multiplicative relationships (multiplicative relationships restricted to multiplication by a whole number).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BA50" w14:textId="6BC1F192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Understand that a multiplicative relationship between 2 quantities can be expressed as a ratio or a fraction.</w:t>
            </w:r>
            <w:r w:rsidR="00A3157B">
              <w:rPr>
                <w:rFonts w:ascii="Arial" w:hAnsi="Arial" w:cs="Arial"/>
                <w:lang w:val="en-US" w:eastAsia="en-US"/>
              </w:rPr>
              <w:t xml:space="preserve"> </w:t>
            </w:r>
            <w:r w:rsidRPr="007433B6">
              <w:rPr>
                <w:rFonts w:ascii="Arial" w:hAnsi="Arial" w:cs="Arial"/>
                <w:lang w:val="en-US" w:eastAsia="en-US"/>
              </w:rPr>
              <w:t>Express 1 quantity as a fraction of another, where the fraction is less than 1 and greater than 1.</w:t>
            </w:r>
            <w:r w:rsidR="00A3157B">
              <w:rPr>
                <w:rFonts w:ascii="Arial" w:hAnsi="Arial" w:cs="Arial"/>
                <w:lang w:val="en-US" w:eastAsia="en-US"/>
              </w:rPr>
              <w:t xml:space="preserve"> </w:t>
            </w:r>
            <w:r w:rsidRPr="007433B6">
              <w:rPr>
                <w:rFonts w:ascii="Arial" w:hAnsi="Arial" w:cs="Arial"/>
                <w:lang w:val="en-US" w:eastAsia="en-US"/>
              </w:rPr>
              <w:t>Interpret mathematical relationships both algebraically and geometrically. Interpret when the structure of a numerical problem requires additive, multiplicative, or proportional reasoning.</w:t>
            </w:r>
          </w:p>
        </w:tc>
      </w:tr>
      <w:tr w:rsidR="001501C4" w:rsidRPr="007433B6" w14:paraId="0920568B" w14:textId="77777777" w:rsidTr="001E6840">
        <w:trPr>
          <w:trHeight w:val="127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7F1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8204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lang w:val="en-US" w:eastAsia="en-US"/>
              </w:rPr>
              <w:t xml:space="preserve">6AS/MD–2 Derive related calculations </w:t>
            </w:r>
          </w:p>
          <w:p w14:paraId="7C8CA8A5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Use a given additive or multiplicative calculation to derive or complete a related calculation, using arithmetic properties, inverse relationships, and place-value understanding.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AFF0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 xml:space="preserve">Recognise and use relationships between operations including inverse operations. Use algebra to </w:t>
            </w:r>
            <w:proofErr w:type="spellStart"/>
            <w:r w:rsidRPr="007433B6">
              <w:rPr>
                <w:rFonts w:ascii="Arial" w:hAnsi="Arial" w:cs="Arial"/>
                <w:lang w:val="en-US" w:eastAsia="en-US"/>
              </w:rPr>
              <w:t>generalise</w:t>
            </w:r>
            <w:proofErr w:type="spellEnd"/>
            <w:r w:rsidRPr="007433B6">
              <w:rPr>
                <w:rFonts w:ascii="Arial" w:hAnsi="Arial" w:cs="Arial"/>
                <w:lang w:val="en-US" w:eastAsia="en-US"/>
              </w:rPr>
              <w:t xml:space="preserve"> the structure of arithmetic, including to formulate mathematical relationships. Understand and use standard mathematical formulae; rearrange formulae to change the subject.</w:t>
            </w:r>
          </w:p>
        </w:tc>
      </w:tr>
      <w:tr w:rsidR="001501C4" w:rsidRPr="007433B6" w14:paraId="75A8A853" w14:textId="77777777" w:rsidTr="001E6840">
        <w:trPr>
          <w:trHeight w:val="127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C97F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CD0D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lang w:val="en-US" w:eastAsia="en-US"/>
              </w:rPr>
              <w:t xml:space="preserve">6AS/MD–3 Solve problems involving ratio relationships </w:t>
            </w:r>
          </w:p>
          <w:p w14:paraId="4611433D" w14:textId="6725F3F4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Solve problems involving ratio relationships</w:t>
            </w:r>
            <w:r w:rsidR="005B528B">
              <w:rPr>
                <w:rFonts w:ascii="Arial" w:hAnsi="Arial" w:cs="Arial"/>
                <w:lang w:val="en-US" w:eastAsia="en-U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5AFF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 xml:space="preserve">Use ratio notation, including reduction to simplest form. Divide a given quantity into 2 parts in a given </w:t>
            </w:r>
            <w:proofErr w:type="spellStart"/>
            <w:r w:rsidRPr="007433B6">
              <w:rPr>
                <w:rFonts w:ascii="Arial" w:hAnsi="Arial" w:cs="Arial"/>
                <w:lang w:val="en-US" w:eastAsia="en-US"/>
              </w:rPr>
              <w:t>part:part</w:t>
            </w:r>
            <w:proofErr w:type="spellEnd"/>
            <w:r w:rsidRPr="007433B6">
              <w:rPr>
                <w:rFonts w:ascii="Arial" w:hAnsi="Arial" w:cs="Arial"/>
                <w:lang w:val="en-US" w:eastAsia="en-US"/>
              </w:rPr>
              <w:t xml:space="preserve"> or </w:t>
            </w:r>
            <w:proofErr w:type="spellStart"/>
            <w:r w:rsidRPr="007433B6">
              <w:rPr>
                <w:rFonts w:ascii="Arial" w:hAnsi="Arial" w:cs="Arial"/>
                <w:lang w:val="en-US" w:eastAsia="en-US"/>
              </w:rPr>
              <w:t>part:whole</w:t>
            </w:r>
            <w:proofErr w:type="spellEnd"/>
            <w:r w:rsidRPr="007433B6">
              <w:rPr>
                <w:rFonts w:ascii="Arial" w:hAnsi="Arial" w:cs="Arial"/>
                <w:lang w:val="en-US" w:eastAsia="en-US"/>
              </w:rPr>
              <w:t xml:space="preserve"> ratio; express the division of a quantity into 2 parts as a ratio.</w:t>
            </w:r>
          </w:p>
        </w:tc>
      </w:tr>
      <w:tr w:rsidR="001501C4" w:rsidRPr="007433B6" w14:paraId="3238B1E2" w14:textId="77777777" w:rsidTr="001E6840">
        <w:trPr>
          <w:trHeight w:val="127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6120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F4E5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lang w:val="en-US" w:eastAsia="en-US"/>
              </w:rPr>
              <w:t xml:space="preserve">6AS/MD–4 Solve problems with 2 unknowns </w:t>
            </w:r>
          </w:p>
          <w:p w14:paraId="7DEFE116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Solve problems with 2 unknowns.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F868" w14:textId="0A5D651B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 xml:space="preserve">Reduce a give linear equation in two variables to the standard form y = mx + c; calculate and interpret gradients and intercepts of graphs of such linear equations numerically, </w:t>
            </w:r>
            <w:proofErr w:type="gramStart"/>
            <w:r w:rsidRPr="007433B6">
              <w:rPr>
                <w:rFonts w:ascii="Arial" w:hAnsi="Arial" w:cs="Arial"/>
                <w:lang w:val="en-US" w:eastAsia="en-US"/>
              </w:rPr>
              <w:t>graphically</w:t>
            </w:r>
            <w:proofErr w:type="gramEnd"/>
            <w:r w:rsidRPr="007433B6">
              <w:rPr>
                <w:rFonts w:ascii="Arial" w:hAnsi="Arial" w:cs="Arial"/>
                <w:lang w:val="en-US" w:eastAsia="en-US"/>
              </w:rPr>
              <w:t xml:space="preserve"> and algebraically.</w:t>
            </w:r>
            <w:r w:rsidR="00A3157B">
              <w:rPr>
                <w:rFonts w:ascii="Arial" w:hAnsi="Arial" w:cs="Arial"/>
                <w:lang w:val="en-US" w:eastAsia="en-US"/>
              </w:rPr>
              <w:t xml:space="preserve"> </w:t>
            </w:r>
            <w:r w:rsidRPr="007433B6">
              <w:rPr>
                <w:rFonts w:ascii="Arial" w:hAnsi="Arial" w:cs="Arial"/>
                <w:lang w:val="en-US" w:eastAsia="en-US"/>
              </w:rPr>
              <w:t>Use linear and quadratic graphs to estimate values of y for given values of x and vice versa and to find approximate solutions of simultaneous linear equations.</w:t>
            </w:r>
          </w:p>
        </w:tc>
      </w:tr>
    </w:tbl>
    <w:p w14:paraId="4759BAA9" w14:textId="77777777" w:rsidR="001E6840" w:rsidRDefault="001E6840">
      <w:r>
        <w:rPr>
          <w:b/>
          <w:bCs w:val="0"/>
        </w:rPr>
        <w:br w:type="page"/>
      </w: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990"/>
        <w:gridCol w:w="4680"/>
        <w:gridCol w:w="4320"/>
      </w:tblGrid>
      <w:tr w:rsidR="001E6840" w:rsidRPr="007433B6" w14:paraId="63E3D237" w14:textId="77777777" w:rsidTr="001E6840">
        <w:trPr>
          <w:trHeight w:val="2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BE2B" w14:textId="77777777" w:rsidR="001E6840" w:rsidRPr="007433B6" w:rsidRDefault="001E6840" w:rsidP="001E6840">
            <w:pPr>
              <w:spacing w:before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7B8" w14:textId="7F1A7388" w:rsidR="001E6840" w:rsidRPr="007433B6" w:rsidRDefault="001E6840" w:rsidP="001E6840">
            <w:pPr>
              <w:spacing w:before="0" w:line="240" w:lineRule="auto"/>
              <w:jc w:val="center"/>
              <w:rPr>
                <w:rFonts w:ascii="Arial" w:hAnsi="Arial"/>
                <w:lang w:val="en-US" w:eastAsia="en-US"/>
              </w:rPr>
            </w:pPr>
            <w:r w:rsidRPr="001E6840">
              <w:rPr>
                <w:rFonts w:ascii="Arial" w:hAnsi="Arial" w:cs="Arial"/>
                <w:sz w:val="24"/>
                <w:szCs w:val="24"/>
                <w:lang w:val="en-US" w:eastAsia="en-US"/>
              </w:rPr>
              <w:t>Year 6 ready-to-progress criteria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E35" w14:textId="5CB7F47A" w:rsidR="001E6840" w:rsidRPr="007433B6" w:rsidRDefault="001E6840" w:rsidP="001E6840">
            <w:pPr>
              <w:spacing w:before="0" w:line="240" w:lineRule="auto"/>
              <w:jc w:val="center"/>
              <w:rPr>
                <w:rFonts w:ascii="Arial" w:hAnsi="Arial"/>
                <w:lang w:val="en-US" w:eastAsia="en-US"/>
              </w:rPr>
            </w:pPr>
            <w:r w:rsidRPr="001E6840">
              <w:rPr>
                <w:rFonts w:ascii="Arial" w:hAnsi="Arial" w:cs="Arial"/>
                <w:sz w:val="24"/>
                <w:szCs w:val="24"/>
                <w:lang w:val="en-US" w:eastAsia="en-US"/>
              </w:rPr>
              <w:t>Key Stage 3 applications</w:t>
            </w:r>
          </w:p>
        </w:tc>
      </w:tr>
      <w:tr w:rsidR="001501C4" w:rsidRPr="007433B6" w14:paraId="744885CD" w14:textId="77777777" w:rsidTr="001E6840">
        <w:trPr>
          <w:trHeight w:val="106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0CE792" w14:textId="09E8E9B0" w:rsidR="001501C4" w:rsidRPr="007433B6" w:rsidRDefault="001501C4">
            <w:pPr>
              <w:spacing w:before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sz w:val="24"/>
                <w:szCs w:val="24"/>
                <w:lang w:val="en-US" w:eastAsia="en-US"/>
              </w:rPr>
              <w:t>Key Idea 3: Understanding the relationship between the numerator and the denominator in a fraction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95EB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sz w:val="22"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lang w:val="en-US" w:eastAsia="en-US"/>
              </w:rPr>
              <w:t xml:space="preserve">6F–1 Simplify fractions </w:t>
            </w:r>
          </w:p>
          <w:p w14:paraId="69B035F4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Recognise when fractions can be simplified and use common factors to simplify fractions.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CCD3" w14:textId="360CCCC1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 xml:space="preserve">Use the concepts and vocabulary of prime numbers, factors (or divisors), multiples, common factors, common multiples, highest common factor, lowest common multiple, prime </w:t>
            </w:r>
            <w:proofErr w:type="spellStart"/>
            <w:r w:rsidRPr="007433B6">
              <w:rPr>
                <w:rFonts w:ascii="Arial" w:hAnsi="Arial" w:cs="Arial"/>
                <w:lang w:val="en-US" w:eastAsia="en-US"/>
              </w:rPr>
              <w:t>factorisation</w:t>
            </w:r>
            <w:proofErr w:type="spellEnd"/>
            <w:r w:rsidRPr="007433B6">
              <w:rPr>
                <w:rFonts w:ascii="Arial" w:hAnsi="Arial" w:cs="Arial"/>
                <w:lang w:val="en-US" w:eastAsia="en-US"/>
              </w:rPr>
              <w:t xml:space="preserve">, including using product notation and the unique </w:t>
            </w:r>
            <w:proofErr w:type="spellStart"/>
            <w:r w:rsidRPr="007433B6">
              <w:rPr>
                <w:rFonts w:ascii="Arial" w:hAnsi="Arial" w:cs="Arial"/>
                <w:lang w:val="en-US" w:eastAsia="en-US"/>
              </w:rPr>
              <w:t>factorisation</w:t>
            </w:r>
            <w:proofErr w:type="spellEnd"/>
            <w:r w:rsidRPr="007433B6">
              <w:rPr>
                <w:rFonts w:ascii="Arial" w:hAnsi="Arial" w:cs="Arial"/>
                <w:lang w:val="en-US" w:eastAsia="en-US"/>
              </w:rPr>
              <w:t xml:space="preserve"> property. Simplify and manipulate algebraic expressions by taking out common factors</w:t>
            </w:r>
            <w:r w:rsidR="005B528B">
              <w:rPr>
                <w:rFonts w:ascii="Arial" w:hAnsi="Arial" w:cs="Arial"/>
                <w:lang w:val="en-US" w:eastAsia="en-US"/>
              </w:rPr>
              <w:t>.</w:t>
            </w:r>
          </w:p>
        </w:tc>
      </w:tr>
      <w:tr w:rsidR="001501C4" w:rsidRPr="007433B6" w14:paraId="4F835EA0" w14:textId="77777777" w:rsidTr="001E6840">
        <w:trPr>
          <w:trHeight w:val="1061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10CC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1763" w14:textId="3BFC620C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lang w:val="en-US" w:eastAsia="en-US"/>
              </w:rPr>
              <w:t>6F–2 Express fractions in a common denomination</w:t>
            </w:r>
            <w:r w:rsidR="00A3157B">
              <w:rPr>
                <w:rFonts w:ascii="Arial" w:hAnsi="Arial" w:cs="Arial"/>
                <w:b w:val="0"/>
                <w:bCs/>
                <w:lang w:val="en-US" w:eastAsia="en-US"/>
              </w:rPr>
              <w:t xml:space="preserve"> </w:t>
            </w:r>
          </w:p>
          <w:p w14:paraId="150CEA10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Express fractions in a common denomination and use this to compare fractions that are similar in value.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2B06" w14:textId="5C4A4AC3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Order positive and negative integers, decimals, and fractions.</w:t>
            </w:r>
            <w:r w:rsidR="00A3157B">
              <w:rPr>
                <w:rFonts w:ascii="Arial" w:hAnsi="Arial" w:cs="Arial"/>
                <w:lang w:val="en-US" w:eastAsia="en-US"/>
              </w:rPr>
              <w:t xml:space="preserve"> </w:t>
            </w:r>
            <w:r w:rsidRPr="007433B6">
              <w:rPr>
                <w:rFonts w:ascii="Arial" w:hAnsi="Arial" w:cs="Arial"/>
                <w:lang w:val="en-US" w:eastAsia="en-US"/>
              </w:rPr>
              <w:t>Use the 4 operations, including formal written methods, applied to integers, decimals, proper and improper fractions, and mixed numbers, all both positive and negative. Use and interpret algebraic notation, including:</w:t>
            </w:r>
          </w:p>
          <w:p w14:paraId="558B5C65" w14:textId="77777777" w:rsidR="001501C4" w:rsidRPr="007433B6" w:rsidRDefault="001501C4" w:rsidP="001501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433B6">
              <w:rPr>
                <w:rFonts w:ascii="Arial" w:hAnsi="Arial" w:cs="Arial"/>
                <w:lang w:val="en-US"/>
              </w:rPr>
              <w:t xml:space="preserve">a/b in place of </w:t>
            </w:r>
            <w:proofErr w:type="gramStart"/>
            <w:r w:rsidRPr="007433B6">
              <w:rPr>
                <w:rFonts w:ascii="Arial" w:hAnsi="Arial" w:cs="Arial"/>
                <w:lang w:val="en-US"/>
              </w:rPr>
              <w:t>a:b</w:t>
            </w:r>
            <w:proofErr w:type="gramEnd"/>
          </w:p>
          <w:p w14:paraId="5E647903" w14:textId="77777777" w:rsidR="001501C4" w:rsidRPr="007433B6" w:rsidRDefault="001501C4" w:rsidP="001501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433B6">
              <w:rPr>
                <w:rFonts w:ascii="Arial" w:hAnsi="Arial" w:cs="Arial"/>
                <w:lang w:val="en-US"/>
              </w:rPr>
              <w:t>coefficients written as fractions rather than as decimals.</w:t>
            </w:r>
          </w:p>
        </w:tc>
      </w:tr>
      <w:tr w:rsidR="001501C4" w:rsidRPr="007433B6" w14:paraId="6D0FBF60" w14:textId="77777777" w:rsidTr="001E6840">
        <w:trPr>
          <w:trHeight w:val="53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0799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72DD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b w:val="0"/>
                <w:bCs/>
                <w:lang w:val="en-US" w:eastAsia="en-US"/>
              </w:rPr>
              <w:t xml:space="preserve">6F–3 Compare fractions with different denominators </w:t>
            </w:r>
          </w:p>
          <w:p w14:paraId="5D9572E8" w14:textId="77777777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Compare fractions with different denominators, including fractions greater than 1, using reasoning, and choose between reasoning and common denomination as a comparison strategy.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1A67" w14:textId="4EE74124" w:rsidR="001501C4" w:rsidRPr="007433B6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7433B6">
              <w:rPr>
                <w:rFonts w:ascii="Arial" w:hAnsi="Arial" w:cs="Arial"/>
                <w:lang w:val="en-US" w:eastAsia="en-US"/>
              </w:rPr>
              <w:t>Order positive and negative integers, decimals, and fractions; use the number line as a model for ordering of the real numbers; use the symbols =, ≠, &lt;, &gt;, ≤, ≥</w:t>
            </w:r>
            <w:r w:rsidR="00DE20D9">
              <w:rPr>
                <w:rFonts w:ascii="Arial" w:hAnsi="Arial" w:cs="Arial"/>
                <w:lang w:val="en-US" w:eastAsia="en-US"/>
              </w:rPr>
              <w:t>.</w:t>
            </w:r>
          </w:p>
        </w:tc>
      </w:tr>
    </w:tbl>
    <w:p w14:paraId="5E1EC7A6" w14:textId="77777777" w:rsidR="005F030B" w:rsidRDefault="005F030B">
      <w:r>
        <w:rPr>
          <w:b/>
          <w:bCs w:val="0"/>
        </w:rPr>
        <w:br w:type="page"/>
      </w: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990"/>
        <w:gridCol w:w="4680"/>
        <w:gridCol w:w="4320"/>
      </w:tblGrid>
      <w:tr w:rsidR="001E6840" w:rsidRPr="001D15C5" w14:paraId="5F971CE7" w14:textId="77777777" w:rsidTr="005F030B">
        <w:trPr>
          <w:cantSplit/>
          <w:trHeight w:val="2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956" w14:textId="6C60F187" w:rsidR="001E6840" w:rsidRPr="00CF2A4E" w:rsidRDefault="001E6840" w:rsidP="005F030B">
            <w:pPr>
              <w:spacing w:before="0" w:line="240" w:lineRule="auto"/>
              <w:jc w:val="center"/>
              <w:rPr>
                <w:rFonts w:ascii="Arial" w:hAnsi="Arial"/>
                <w:sz w:val="28"/>
                <w:szCs w:val="28"/>
                <w:lang w:val="en-US"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81E" w14:textId="5D33D7A4" w:rsidR="001E6840" w:rsidRPr="001D15C5" w:rsidRDefault="005F030B" w:rsidP="005F030B">
            <w:pPr>
              <w:spacing w:before="0" w:line="240" w:lineRule="auto"/>
              <w:jc w:val="center"/>
              <w:rPr>
                <w:rFonts w:ascii="Arial" w:hAnsi="Arial"/>
                <w:lang w:val="en-US" w:eastAsia="en-US"/>
              </w:rPr>
            </w:pPr>
            <w:r w:rsidRPr="001E6840">
              <w:rPr>
                <w:rFonts w:ascii="Arial" w:hAnsi="Arial" w:cs="Arial"/>
                <w:sz w:val="24"/>
                <w:szCs w:val="24"/>
                <w:lang w:val="en-US" w:eastAsia="en-US"/>
              </w:rPr>
              <w:t>Year 6 ready-to-progress criteria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9281" w14:textId="7922A688" w:rsidR="001E6840" w:rsidRPr="001D15C5" w:rsidRDefault="005F030B" w:rsidP="005F030B">
            <w:pPr>
              <w:spacing w:before="0" w:line="240" w:lineRule="auto"/>
              <w:jc w:val="center"/>
              <w:rPr>
                <w:rFonts w:ascii="Arial" w:hAnsi="Arial"/>
                <w:lang w:val="en-US" w:eastAsia="en-US"/>
              </w:rPr>
            </w:pPr>
            <w:r w:rsidRPr="001E6840">
              <w:rPr>
                <w:rFonts w:ascii="Arial" w:hAnsi="Arial" w:cs="Arial"/>
                <w:sz w:val="24"/>
                <w:szCs w:val="24"/>
                <w:lang w:val="en-US" w:eastAsia="en-US"/>
              </w:rPr>
              <w:t>Key Stage 3 applications</w:t>
            </w:r>
          </w:p>
        </w:tc>
      </w:tr>
      <w:tr w:rsidR="001D15C5" w:rsidRPr="001D15C5" w14:paraId="545D3178" w14:textId="77777777" w:rsidTr="001E6840">
        <w:trPr>
          <w:cantSplit/>
          <w:trHeight w:val="104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2DBD8A" w14:textId="77777777" w:rsidR="001501C4" w:rsidRPr="00CF2A4E" w:rsidRDefault="001501C4">
            <w:pPr>
              <w:spacing w:before="0" w:line="240" w:lineRule="auto"/>
              <w:ind w:left="113" w:right="113"/>
              <w:jc w:val="center"/>
              <w:rPr>
                <w:rFonts w:ascii="Arial" w:hAnsi="Arial" w:cs="Arial"/>
                <w:bCs/>
                <w:sz w:val="28"/>
                <w:szCs w:val="28"/>
                <w:lang w:val="en-US" w:eastAsia="en-US"/>
              </w:rPr>
            </w:pPr>
            <w:r w:rsidRPr="00CF2A4E">
              <w:rPr>
                <w:rFonts w:ascii="Arial" w:hAnsi="Arial" w:cs="Arial"/>
                <w:b w:val="0"/>
                <w:bCs/>
                <w:sz w:val="28"/>
                <w:szCs w:val="28"/>
                <w:lang w:val="en-US" w:eastAsia="en-US"/>
              </w:rPr>
              <w:t>Key Idea 4: Thinking about properties of geometrical figures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DC1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sz w:val="22"/>
                <w:lang w:val="en-US" w:eastAsia="en-US"/>
              </w:rPr>
            </w:pPr>
            <w:r w:rsidRPr="001D15C5">
              <w:rPr>
                <w:rFonts w:ascii="Arial" w:hAnsi="Arial" w:cs="Arial"/>
                <w:b w:val="0"/>
                <w:bCs/>
                <w:lang w:val="en-US" w:eastAsia="en-US"/>
              </w:rPr>
              <w:t xml:space="preserve">6G–1 Draw, </w:t>
            </w:r>
            <w:proofErr w:type="gramStart"/>
            <w:r w:rsidRPr="001D15C5">
              <w:rPr>
                <w:rFonts w:ascii="Arial" w:hAnsi="Arial" w:cs="Arial"/>
                <w:b w:val="0"/>
                <w:bCs/>
                <w:lang w:val="en-US" w:eastAsia="en-US"/>
              </w:rPr>
              <w:t>compose</w:t>
            </w:r>
            <w:proofErr w:type="gramEnd"/>
            <w:r w:rsidRPr="001D15C5">
              <w:rPr>
                <w:rFonts w:ascii="Arial" w:hAnsi="Arial" w:cs="Arial"/>
                <w:b w:val="0"/>
                <w:bCs/>
                <w:lang w:val="en-US" w:eastAsia="en-US"/>
              </w:rPr>
              <w:t xml:space="preserve"> and decompose shapes </w:t>
            </w:r>
          </w:p>
          <w:p w14:paraId="66958EE9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1D15C5">
              <w:rPr>
                <w:rFonts w:ascii="Arial" w:hAnsi="Arial" w:cs="Arial"/>
                <w:lang w:val="en-US" w:eastAsia="en-US"/>
              </w:rPr>
              <w:t>Draw, compose, and decompose shapes according to given properties, including dimensions, angles, and area, and solve related problems.</w:t>
            </w:r>
          </w:p>
          <w:p w14:paraId="12986CC5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lang w:val="en-US" w:eastAsia="en-US"/>
              </w:rPr>
            </w:pPr>
          </w:p>
          <w:p w14:paraId="7C917929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bCs/>
                <w:lang w:val="en-US" w:eastAsia="en-US"/>
              </w:rPr>
            </w:pPr>
            <w:r w:rsidRPr="001D15C5">
              <w:rPr>
                <w:rFonts w:ascii="Arial" w:hAnsi="Arial" w:cs="Arial"/>
                <w:b w:val="0"/>
                <w:bCs/>
                <w:lang w:val="en-US" w:eastAsia="en-US"/>
              </w:rPr>
              <w:t>Year 5 NC statements</w:t>
            </w:r>
          </w:p>
          <w:p w14:paraId="73E2118D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b w:val="0"/>
                <w:szCs w:val="20"/>
                <w:lang w:val="en-US" w:eastAsia="en-US"/>
              </w:rPr>
            </w:pPr>
            <w:r w:rsidRPr="001D15C5">
              <w:rPr>
                <w:rFonts w:ascii="Arial" w:hAnsi="Arial" w:cs="Arial"/>
                <w:lang w:val="en-US" w:eastAsia="en-US"/>
              </w:rPr>
              <w:t xml:space="preserve">Pupils </w:t>
            </w:r>
            <w:r w:rsidRPr="001D15C5">
              <w:rPr>
                <w:rFonts w:ascii="Arial" w:hAnsi="Arial" w:cs="Arial"/>
                <w:szCs w:val="20"/>
                <w:lang w:val="en-US" w:eastAsia="en-US"/>
              </w:rPr>
              <w:t>should be taught to</w:t>
            </w:r>
          </w:p>
          <w:p w14:paraId="42C85192" w14:textId="77777777" w:rsidR="001501C4" w:rsidRPr="001D15C5" w:rsidRDefault="001501C4" w:rsidP="001501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>identify:</w:t>
            </w:r>
          </w:p>
          <w:p w14:paraId="19EE37EA" w14:textId="77777777" w:rsidR="001501C4" w:rsidRPr="001D15C5" w:rsidRDefault="001501C4" w:rsidP="001501C4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>angles at a point and one whole turn (total 360°)</w:t>
            </w:r>
          </w:p>
          <w:p w14:paraId="62E3D8BC" w14:textId="77777777" w:rsidR="001501C4" w:rsidRPr="001D15C5" w:rsidRDefault="001501C4" w:rsidP="001501C4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 xml:space="preserve">angles at a point on a straight line and </w:t>
            </w:r>
            <w:r w:rsidRPr="001D15C5">
              <w:rPr>
                <w:rFonts w:ascii="Arial" w:hAnsi="Arial" w:cs="Arial"/>
                <w:b w:val="0"/>
                <w:bCs w:val="0"/>
                <w:position w:val="-24"/>
                <w:sz w:val="20"/>
                <w:szCs w:val="20"/>
              </w:rPr>
              <w:object w:dxaOrig="240" w:dyaOrig="620" w14:anchorId="680341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18" o:title=""/>
                </v:shape>
                <o:OLEObject Type="Embed" ProgID="Equation.DSMT4" ShapeID="_x0000_i1025" DrawAspect="Content" ObjectID="_1660472458" r:id="rId19"/>
              </w:object>
            </w: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 xml:space="preserve"> a turn (total 180°)</w:t>
            </w:r>
          </w:p>
          <w:p w14:paraId="59FE7E22" w14:textId="77777777" w:rsidR="001501C4" w:rsidRPr="001D15C5" w:rsidRDefault="001501C4" w:rsidP="001501C4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>other multiples of 90°</w:t>
            </w:r>
          </w:p>
          <w:p w14:paraId="1339D664" w14:textId="77777777" w:rsidR="001501C4" w:rsidRPr="001D15C5" w:rsidRDefault="001501C4" w:rsidP="001501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>use the properties of rectangles to deduce related facts and find missing lengths and angles</w:t>
            </w:r>
          </w:p>
          <w:p w14:paraId="2CE26D5B" w14:textId="77777777" w:rsidR="001501C4" w:rsidRPr="001D15C5" w:rsidRDefault="001501C4" w:rsidP="001501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>distinguish between regular and irregular polygons based on reasoning about equal sides and angles.</w:t>
            </w:r>
          </w:p>
          <w:p w14:paraId="058A0A4A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bCs/>
                <w:sz w:val="22"/>
                <w:lang w:val="en-US" w:eastAsia="en-US"/>
              </w:rPr>
            </w:pPr>
          </w:p>
          <w:p w14:paraId="1BB95E46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b w:val="0"/>
                <w:bCs/>
                <w:lang w:val="en-US" w:eastAsia="en-US"/>
              </w:rPr>
            </w:pPr>
            <w:r w:rsidRPr="001D15C5">
              <w:rPr>
                <w:rFonts w:ascii="Arial" w:hAnsi="Arial" w:cs="Arial"/>
                <w:b w:val="0"/>
                <w:bCs/>
                <w:lang w:val="en-US" w:eastAsia="en-US"/>
              </w:rPr>
              <w:t>Notes and guidance (non-statutory)</w:t>
            </w:r>
          </w:p>
          <w:p w14:paraId="31626F68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1D15C5">
              <w:rPr>
                <w:rFonts w:ascii="Arial" w:hAnsi="Arial" w:cs="Arial"/>
                <w:lang w:val="en-US" w:eastAsia="en-US"/>
              </w:rPr>
              <w:t>Pupils use angle sum facts and other properties to make deductions about missing angles and relate these to missing number problems.</w:t>
            </w:r>
          </w:p>
          <w:p w14:paraId="2858C9AA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lang w:val="en-US" w:eastAsia="en-US"/>
              </w:rPr>
            </w:pPr>
          </w:p>
          <w:p w14:paraId="713D5346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bCs/>
                <w:lang w:val="en-US" w:eastAsia="en-US"/>
              </w:rPr>
            </w:pPr>
            <w:r w:rsidRPr="001D15C5">
              <w:rPr>
                <w:rFonts w:ascii="Arial" w:hAnsi="Arial" w:cs="Arial"/>
                <w:b w:val="0"/>
                <w:bCs/>
                <w:lang w:val="en-US" w:eastAsia="en-US"/>
              </w:rPr>
              <w:t>Year 6 NC statements</w:t>
            </w:r>
          </w:p>
          <w:p w14:paraId="58B0A06F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1D15C5">
              <w:rPr>
                <w:rFonts w:ascii="Arial" w:hAnsi="Arial" w:cs="Arial"/>
                <w:lang w:val="en-US" w:eastAsia="en-US"/>
              </w:rPr>
              <w:t>Pupils should be taught to:</w:t>
            </w:r>
          </w:p>
          <w:p w14:paraId="0B07B3D8" w14:textId="77777777" w:rsidR="001501C4" w:rsidRPr="001D15C5" w:rsidRDefault="001501C4" w:rsidP="001501C4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>recognise angles where they meet at a point, are on a straight line, or are vertically opposite, and find missing angles.</w:t>
            </w:r>
          </w:p>
          <w:p w14:paraId="418B2010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sz w:val="22"/>
                <w:lang w:val="en-US" w:eastAsia="en-US"/>
              </w:rPr>
            </w:pPr>
            <w:r w:rsidRPr="001D15C5">
              <w:rPr>
                <w:rFonts w:ascii="Arial" w:hAnsi="Arial" w:cs="Arial"/>
                <w:b w:val="0"/>
                <w:bCs/>
                <w:lang w:val="en-US" w:eastAsia="en-US"/>
              </w:rPr>
              <w:t>Notes and guidance (non-statutory)</w:t>
            </w:r>
          </w:p>
          <w:p w14:paraId="1159E14E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szCs w:val="20"/>
                <w:lang w:val="en-US" w:eastAsia="en-US"/>
              </w:rPr>
            </w:pPr>
            <w:r w:rsidRPr="001D15C5">
              <w:rPr>
                <w:rFonts w:ascii="Arial" w:hAnsi="Arial" w:cs="Arial"/>
                <w:lang w:val="en-US" w:eastAsia="en-US"/>
              </w:rPr>
              <w:t>Pupils describe the properties of shapes and explain how unknown angles and lengths can be derived from known measurements.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87F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sz w:val="22"/>
                <w:lang w:val="en-US" w:eastAsia="en-US"/>
              </w:rPr>
            </w:pPr>
            <w:r w:rsidRPr="001D15C5">
              <w:rPr>
                <w:rFonts w:ascii="Arial" w:hAnsi="Arial" w:cs="Arial"/>
                <w:lang w:val="en-US" w:eastAsia="en-US"/>
              </w:rPr>
              <w:t>Draw shapes and solve more complex geometry problems (see Mathematics programmes of study: key stage 3 - Geometry and measures).</w:t>
            </w:r>
          </w:p>
          <w:p w14:paraId="6A298B96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lang w:val="en-US" w:eastAsia="en-US"/>
              </w:rPr>
            </w:pPr>
          </w:p>
          <w:p w14:paraId="56DCF652" w14:textId="77777777" w:rsidR="001501C4" w:rsidRPr="001D15C5" w:rsidRDefault="001501C4">
            <w:pPr>
              <w:spacing w:before="0" w:line="240" w:lineRule="auto"/>
              <w:rPr>
                <w:rFonts w:ascii="Arial" w:hAnsi="Arial" w:cs="Arial"/>
                <w:lang w:val="en-US" w:eastAsia="en-US"/>
              </w:rPr>
            </w:pPr>
          </w:p>
          <w:p w14:paraId="75E29927" w14:textId="48AF57FA" w:rsidR="001501C4" w:rsidRPr="001D15C5" w:rsidRDefault="00DE20D9">
            <w:pPr>
              <w:spacing w:line="240" w:lineRule="auto"/>
              <w:ind w:left="-20"/>
              <w:rPr>
                <w:rFonts w:ascii="Arial" w:hAnsi="Arial" w:cs="Arial"/>
                <w:szCs w:val="20"/>
                <w:lang w:val="en-US" w:eastAsia="en-US"/>
              </w:rPr>
            </w:pPr>
            <w:r>
              <w:rPr>
                <w:rFonts w:ascii="Arial" w:hAnsi="Arial" w:cs="Arial"/>
                <w:szCs w:val="20"/>
                <w:lang w:val="en-US" w:eastAsia="en-US"/>
              </w:rPr>
              <w:t>B</w:t>
            </w:r>
            <w:r w:rsidR="001501C4" w:rsidRPr="001D15C5">
              <w:rPr>
                <w:rFonts w:ascii="Arial" w:hAnsi="Arial" w:cs="Arial"/>
                <w:szCs w:val="20"/>
                <w:lang w:val="en-US" w:eastAsia="en-US"/>
              </w:rPr>
              <w:t>egin to reason deductively in geometry including using geometrical constructions</w:t>
            </w:r>
            <w:r>
              <w:rPr>
                <w:rFonts w:ascii="Arial" w:hAnsi="Arial" w:cs="Arial"/>
                <w:szCs w:val="20"/>
                <w:lang w:val="en-US" w:eastAsia="en-US"/>
              </w:rPr>
              <w:t>.</w:t>
            </w:r>
          </w:p>
          <w:p w14:paraId="111A668E" w14:textId="66371556" w:rsidR="001501C4" w:rsidRPr="001D15C5" w:rsidRDefault="001501C4" w:rsidP="00B37321">
            <w:pPr>
              <w:spacing w:line="240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  <w:p w14:paraId="3CDD12F4" w14:textId="7DD5D96E" w:rsidR="001501C4" w:rsidRPr="001D15C5" w:rsidRDefault="001501C4" w:rsidP="001501C4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>apply the properties of angles at a point, angles at a point on a straight line, vertically opposite angles</w:t>
            </w:r>
            <w:r w:rsidR="00B3732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82CEB6B" w14:textId="10035B5B" w:rsidR="001501C4" w:rsidRPr="001D15C5" w:rsidRDefault="001501C4" w:rsidP="001501C4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>understand and use the relationship between parallel lines and alternate and corresponding angles</w:t>
            </w:r>
            <w:r w:rsidR="00B3732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E501401" w14:textId="6BD4786A" w:rsidR="001501C4" w:rsidRPr="001D15C5" w:rsidRDefault="001501C4" w:rsidP="001501C4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>derive and use the sum of angles in a triangle and use it to deduce the angle sum in any polygon, and to derive properties of regular polygons</w:t>
            </w:r>
            <w:r w:rsidR="00B3732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11C43AE" w14:textId="511C69DA" w:rsidR="001501C4" w:rsidRPr="001D15C5" w:rsidRDefault="001501C4" w:rsidP="001501C4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1D15C5">
              <w:rPr>
                <w:rFonts w:ascii="Arial" w:hAnsi="Arial" w:cs="Arial"/>
                <w:sz w:val="20"/>
                <w:szCs w:val="20"/>
                <w:lang w:val="en-US"/>
              </w:rPr>
              <w:t>derive and use the standard ruler and compass constructions (perpendicular bisector of a line segment, constructing a perpendicular to a given line from/at a given point, bisecting a given angle); recognise and use the perpendicular distance from a point to a line as the shortest distance to the line</w:t>
            </w:r>
            <w:r w:rsidR="00B3732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6AD419AE" w14:textId="1857CB9E" w:rsidR="00FC27B3" w:rsidRPr="007433B6" w:rsidRDefault="00FC27B3" w:rsidP="001E0E38">
      <w:pPr>
        <w:tabs>
          <w:tab w:val="left" w:pos="2520"/>
        </w:tabs>
        <w:rPr>
          <w:rFonts w:ascii="Arial" w:hAnsi="Arial"/>
        </w:rPr>
      </w:pPr>
    </w:p>
    <w:sectPr w:rsidR="00FC27B3" w:rsidRPr="007433B6" w:rsidSect="00682D1D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350" w:right="720" w:bottom="1531" w:left="156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8FF08" w14:textId="77777777" w:rsidR="00084B69" w:rsidRDefault="00084B69">
      <w:r>
        <w:separator/>
      </w:r>
    </w:p>
  </w:endnote>
  <w:endnote w:type="continuationSeparator" w:id="0">
    <w:p w14:paraId="6B27B266" w14:textId="77777777" w:rsidR="00084B69" w:rsidRDefault="000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5890D" w14:textId="7896CFAB" w:rsidR="00984AF9" w:rsidRPr="00FC27B3" w:rsidRDefault="00217065">
    <w:pPr>
      <w:pStyle w:val="Footer"/>
      <w:jc w:val="right"/>
      <w:rPr>
        <w:rFonts w:ascii="Arial" w:hAnsi="Arial"/>
        <w:b/>
        <w:bCs w:val="0"/>
      </w:rPr>
    </w:pPr>
    <w:r w:rsidRPr="00FC27B3">
      <w:rPr>
        <w:rFonts w:ascii="Arial" w:hAnsi="Arial"/>
        <w:b/>
        <w:bCs w:val="0"/>
      </w:rPr>
      <w:t xml:space="preserve">ncetm.org.uk | </w:t>
    </w:r>
    <w:sdt>
      <w:sdtPr>
        <w:rPr>
          <w:rFonts w:ascii="Arial" w:hAnsi="Arial"/>
          <w:b/>
          <w:bCs w:val="0"/>
        </w:rPr>
        <w:id w:val="103542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84AF9" w:rsidRPr="00FC27B3">
          <w:rPr>
            <w:rFonts w:ascii="Arial" w:hAnsi="Arial"/>
            <w:b/>
            <w:bCs w:val="0"/>
          </w:rPr>
          <w:fldChar w:fldCharType="begin"/>
        </w:r>
        <w:r w:rsidR="00984AF9" w:rsidRPr="00FC27B3">
          <w:rPr>
            <w:rFonts w:ascii="Arial" w:hAnsi="Arial"/>
            <w:b/>
            <w:bCs w:val="0"/>
          </w:rPr>
          <w:instrText xml:space="preserve"> PAGE   \* MERGEFORMAT </w:instrText>
        </w:r>
        <w:r w:rsidR="00984AF9" w:rsidRPr="00FC27B3">
          <w:rPr>
            <w:rFonts w:ascii="Arial" w:hAnsi="Arial"/>
            <w:b/>
            <w:bCs w:val="0"/>
          </w:rPr>
          <w:fldChar w:fldCharType="separate"/>
        </w:r>
        <w:r w:rsidR="00984AF9" w:rsidRPr="00FC27B3">
          <w:rPr>
            <w:rFonts w:ascii="Arial" w:hAnsi="Arial"/>
            <w:b/>
            <w:bCs w:val="0"/>
            <w:noProof/>
          </w:rPr>
          <w:t>2</w:t>
        </w:r>
        <w:r w:rsidR="00984AF9" w:rsidRPr="00FC27B3">
          <w:rPr>
            <w:rFonts w:ascii="Arial" w:hAnsi="Arial"/>
            <w:b/>
            <w:bCs w:val="0"/>
            <w:noProof/>
          </w:rPr>
          <w:fldChar w:fldCharType="end"/>
        </w:r>
      </w:sdtContent>
    </w:sdt>
  </w:p>
  <w:p w14:paraId="685D4F55" w14:textId="77777777" w:rsidR="00984AF9" w:rsidRPr="00984AF9" w:rsidRDefault="00984AF9">
    <w:pPr>
      <w:pStyle w:val="Footer"/>
      <w:rPr>
        <w:rFonts w:ascii="Century Gothic" w:hAnsi="Century Gothic"/>
        <w:b/>
        <w:b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7A9E5" w14:textId="1FBBD3CE" w:rsidR="006C6C4E" w:rsidRPr="00FC27B3" w:rsidRDefault="00217065">
    <w:pPr>
      <w:pStyle w:val="Footer"/>
      <w:jc w:val="right"/>
      <w:rPr>
        <w:rFonts w:ascii="Arial" w:hAnsi="Arial"/>
        <w:b/>
        <w:bCs w:val="0"/>
        <w:szCs w:val="20"/>
      </w:rPr>
    </w:pPr>
    <w:r w:rsidRPr="00FC27B3">
      <w:rPr>
        <w:rFonts w:ascii="Arial" w:hAnsi="Arial"/>
        <w:b/>
        <w:bCs w:val="0"/>
      </w:rPr>
      <w:t xml:space="preserve">ncetm.org.uk | </w:t>
    </w:r>
    <w:sdt>
      <w:sdtPr>
        <w:rPr>
          <w:rFonts w:ascii="Arial" w:hAnsi="Arial"/>
          <w:b/>
          <w:bCs w:val="0"/>
        </w:rPr>
        <w:id w:val="-1404286047"/>
        <w:docPartObj>
          <w:docPartGallery w:val="Page Numbers (Bottom of Page)"/>
          <w:docPartUnique/>
        </w:docPartObj>
      </w:sdtPr>
      <w:sdtEndPr>
        <w:rPr>
          <w:noProof/>
          <w:szCs w:val="20"/>
        </w:rPr>
      </w:sdtEndPr>
      <w:sdtContent>
        <w:r w:rsidR="006C6C4E" w:rsidRPr="00FC27B3">
          <w:rPr>
            <w:rFonts w:ascii="Arial" w:hAnsi="Arial"/>
            <w:b/>
            <w:bCs w:val="0"/>
            <w:szCs w:val="20"/>
          </w:rPr>
          <w:fldChar w:fldCharType="begin"/>
        </w:r>
        <w:r w:rsidR="006C6C4E" w:rsidRPr="00FC27B3">
          <w:rPr>
            <w:rFonts w:ascii="Arial" w:hAnsi="Arial"/>
            <w:b/>
            <w:bCs w:val="0"/>
            <w:szCs w:val="20"/>
          </w:rPr>
          <w:instrText xml:space="preserve"> PAGE   \* MERGEFORMAT </w:instrText>
        </w:r>
        <w:r w:rsidR="006C6C4E" w:rsidRPr="00FC27B3">
          <w:rPr>
            <w:rFonts w:ascii="Arial" w:hAnsi="Arial"/>
            <w:b/>
            <w:bCs w:val="0"/>
            <w:szCs w:val="20"/>
          </w:rPr>
          <w:fldChar w:fldCharType="separate"/>
        </w:r>
        <w:r w:rsidR="006C6C4E" w:rsidRPr="00FC27B3">
          <w:rPr>
            <w:rFonts w:ascii="Arial" w:hAnsi="Arial"/>
            <w:b/>
            <w:bCs w:val="0"/>
            <w:noProof/>
            <w:szCs w:val="20"/>
          </w:rPr>
          <w:t>2</w:t>
        </w:r>
        <w:r w:rsidR="006C6C4E" w:rsidRPr="00FC27B3">
          <w:rPr>
            <w:rFonts w:ascii="Arial" w:hAnsi="Arial"/>
            <w:b/>
            <w:bCs w:val="0"/>
            <w:noProof/>
            <w:szCs w:val="20"/>
          </w:rPr>
          <w:fldChar w:fldCharType="end"/>
        </w:r>
      </w:sdtContent>
    </w:sdt>
  </w:p>
  <w:p w14:paraId="5B2242F4" w14:textId="77777777" w:rsidR="006C6C4E" w:rsidRPr="006C6C4E" w:rsidRDefault="006C6C4E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D7053" w14:textId="77777777" w:rsidR="00084B69" w:rsidRDefault="00084B69">
      <w:r>
        <w:separator/>
      </w:r>
    </w:p>
  </w:footnote>
  <w:footnote w:type="continuationSeparator" w:id="0">
    <w:p w14:paraId="19D2B764" w14:textId="77777777" w:rsidR="00084B69" w:rsidRDefault="0008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71093" w14:textId="287728E5" w:rsidR="001D15C5" w:rsidRDefault="001D15C5">
    <w:pPr>
      <w:pStyle w:val="Header"/>
    </w:pPr>
    <w:r>
      <w:drawing>
        <wp:anchor distT="0" distB="0" distL="114300" distR="114300" simplePos="0" relativeHeight="251665408" behindDoc="1" locked="0" layoutInCell="1" allowOverlap="1" wp14:anchorId="7E689E59" wp14:editId="5F49CFF2">
          <wp:simplePos x="0" y="0"/>
          <wp:positionH relativeFrom="column">
            <wp:posOffset>4292600</wp:posOffset>
          </wp:positionH>
          <wp:positionV relativeFrom="paragraph">
            <wp:posOffset>-76200</wp:posOffset>
          </wp:positionV>
          <wp:extent cx="1888490" cy="477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D5D82" w14:textId="5480C309" w:rsidR="00984AF9" w:rsidRDefault="00984AF9">
    <w:pPr>
      <w:pStyle w:val="Header"/>
    </w:pPr>
    <w:r>
      <w:drawing>
        <wp:anchor distT="0" distB="0" distL="114300" distR="114300" simplePos="0" relativeHeight="251663360" behindDoc="1" locked="0" layoutInCell="1" allowOverlap="1" wp14:anchorId="6AC7023D" wp14:editId="43E84A25">
          <wp:simplePos x="0" y="0"/>
          <wp:positionH relativeFrom="column">
            <wp:posOffset>7064375</wp:posOffset>
          </wp:positionH>
          <wp:positionV relativeFrom="paragraph">
            <wp:posOffset>-64135</wp:posOffset>
          </wp:positionV>
          <wp:extent cx="1888490" cy="47752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8662" w14:textId="0E435DD6" w:rsidR="00A17C71" w:rsidRDefault="00682D1D">
    <w:pPr>
      <w:pStyle w:val="Header"/>
    </w:pPr>
    <w:r>
      <w:drawing>
        <wp:anchor distT="0" distB="0" distL="114300" distR="114300" simplePos="0" relativeHeight="251667456" behindDoc="1" locked="0" layoutInCell="1" allowOverlap="1" wp14:anchorId="497391BD" wp14:editId="3BC06E5B">
          <wp:simplePos x="0" y="0"/>
          <wp:positionH relativeFrom="column">
            <wp:posOffset>4191000</wp:posOffset>
          </wp:positionH>
          <wp:positionV relativeFrom="paragraph">
            <wp:posOffset>-45085</wp:posOffset>
          </wp:positionV>
          <wp:extent cx="1888490" cy="47752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5D9">
      <w:drawing>
        <wp:anchor distT="0" distB="0" distL="114300" distR="114300" simplePos="0" relativeHeight="251661312" behindDoc="1" locked="0" layoutInCell="1" allowOverlap="1" wp14:anchorId="7D59B953" wp14:editId="65FD690A">
          <wp:simplePos x="0" y="0"/>
          <wp:positionH relativeFrom="column">
            <wp:posOffset>7007225</wp:posOffset>
          </wp:positionH>
          <wp:positionV relativeFrom="paragraph">
            <wp:posOffset>20955</wp:posOffset>
          </wp:positionV>
          <wp:extent cx="1888490" cy="477520"/>
          <wp:effectExtent l="0" t="0" r="0" b="0"/>
          <wp:wrapNone/>
          <wp:docPr id="3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A3C"/>
    <w:multiLevelType w:val="hybridMultilevel"/>
    <w:tmpl w:val="3634B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4E2"/>
    <w:multiLevelType w:val="hybridMultilevel"/>
    <w:tmpl w:val="60E8296E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F1B"/>
    <w:multiLevelType w:val="hybridMultilevel"/>
    <w:tmpl w:val="FEE2B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BD8"/>
    <w:multiLevelType w:val="hybridMultilevel"/>
    <w:tmpl w:val="C6986D3C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607A"/>
    <w:multiLevelType w:val="hybridMultilevel"/>
    <w:tmpl w:val="C3F8B7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953DA"/>
    <w:multiLevelType w:val="hybridMultilevel"/>
    <w:tmpl w:val="3C029C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8852A3C"/>
    <w:multiLevelType w:val="hybridMultilevel"/>
    <w:tmpl w:val="0294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A6659"/>
    <w:multiLevelType w:val="hybridMultilevel"/>
    <w:tmpl w:val="4EEAFC66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E3E6D"/>
    <w:multiLevelType w:val="hybridMultilevel"/>
    <w:tmpl w:val="3616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445B4"/>
    <w:multiLevelType w:val="hybridMultilevel"/>
    <w:tmpl w:val="0EA4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E64EC"/>
    <w:multiLevelType w:val="hybridMultilevel"/>
    <w:tmpl w:val="F842B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D0EC9"/>
    <w:multiLevelType w:val="hybridMultilevel"/>
    <w:tmpl w:val="E772C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E5CF2"/>
    <w:multiLevelType w:val="hybridMultilevel"/>
    <w:tmpl w:val="55D8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5EAF"/>
    <w:multiLevelType w:val="hybridMultilevel"/>
    <w:tmpl w:val="33524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613A8"/>
    <w:multiLevelType w:val="hybridMultilevel"/>
    <w:tmpl w:val="93C8D00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7CD7"/>
    <w:multiLevelType w:val="hybridMultilevel"/>
    <w:tmpl w:val="2868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528C3"/>
    <w:multiLevelType w:val="hybridMultilevel"/>
    <w:tmpl w:val="B1B61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B760C"/>
    <w:multiLevelType w:val="hybridMultilevel"/>
    <w:tmpl w:val="EE6C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14492"/>
    <w:multiLevelType w:val="hybridMultilevel"/>
    <w:tmpl w:val="BDEA402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70C32"/>
    <w:multiLevelType w:val="hybridMultilevel"/>
    <w:tmpl w:val="177A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7"/>
  </w:num>
  <w:num w:numId="9">
    <w:abstractNumId w:val="13"/>
  </w:num>
  <w:num w:numId="10">
    <w:abstractNumId w:val="11"/>
  </w:num>
  <w:num w:numId="11">
    <w:abstractNumId w:val="15"/>
  </w:num>
  <w:num w:numId="12">
    <w:abstractNumId w:val="10"/>
  </w:num>
  <w:num w:numId="13">
    <w:abstractNumId w:val="2"/>
  </w:num>
  <w:num w:numId="14">
    <w:abstractNumId w:val="0"/>
  </w:num>
  <w:num w:numId="15">
    <w:abstractNumId w:val="19"/>
  </w:num>
  <w:num w:numId="16">
    <w:abstractNumId w:val="16"/>
  </w:num>
  <w:num w:numId="17">
    <w:abstractNumId w:val="5"/>
  </w:num>
  <w:num w:numId="18">
    <w:abstractNumId w:val="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62"/>
    <w:rsid w:val="0008266D"/>
    <w:rsid w:val="00084B69"/>
    <w:rsid w:val="000B6704"/>
    <w:rsid w:val="00112CF3"/>
    <w:rsid w:val="00113EE1"/>
    <w:rsid w:val="00125FAF"/>
    <w:rsid w:val="001501C4"/>
    <w:rsid w:val="00180972"/>
    <w:rsid w:val="00181317"/>
    <w:rsid w:val="001865F8"/>
    <w:rsid w:val="00187112"/>
    <w:rsid w:val="001D15C5"/>
    <w:rsid w:val="001E0E38"/>
    <w:rsid w:val="001E6840"/>
    <w:rsid w:val="001F0D3C"/>
    <w:rsid w:val="00206D5D"/>
    <w:rsid w:val="00217065"/>
    <w:rsid w:val="002233A8"/>
    <w:rsid w:val="00283945"/>
    <w:rsid w:val="002A70CE"/>
    <w:rsid w:val="002C1D72"/>
    <w:rsid w:val="002D7D97"/>
    <w:rsid w:val="0030510F"/>
    <w:rsid w:val="00370BA1"/>
    <w:rsid w:val="003D5B72"/>
    <w:rsid w:val="003E3F82"/>
    <w:rsid w:val="00402DBA"/>
    <w:rsid w:val="004104E4"/>
    <w:rsid w:val="00414C24"/>
    <w:rsid w:val="0042095B"/>
    <w:rsid w:val="004305FD"/>
    <w:rsid w:val="0044150C"/>
    <w:rsid w:val="00472366"/>
    <w:rsid w:val="004A23AC"/>
    <w:rsid w:val="004C38C8"/>
    <w:rsid w:val="004E5097"/>
    <w:rsid w:val="004F2397"/>
    <w:rsid w:val="00513BE1"/>
    <w:rsid w:val="00517CF5"/>
    <w:rsid w:val="00526A62"/>
    <w:rsid w:val="0057079E"/>
    <w:rsid w:val="00591A7D"/>
    <w:rsid w:val="00597F34"/>
    <w:rsid w:val="005B528B"/>
    <w:rsid w:val="005C5EC5"/>
    <w:rsid w:val="005D37D1"/>
    <w:rsid w:val="005E3D36"/>
    <w:rsid w:val="005F030B"/>
    <w:rsid w:val="006019C4"/>
    <w:rsid w:val="006557B0"/>
    <w:rsid w:val="00682D1D"/>
    <w:rsid w:val="006B00C3"/>
    <w:rsid w:val="006B28E5"/>
    <w:rsid w:val="006B6F5D"/>
    <w:rsid w:val="006B7352"/>
    <w:rsid w:val="006C6C4E"/>
    <w:rsid w:val="006E6791"/>
    <w:rsid w:val="006E76D2"/>
    <w:rsid w:val="006F7304"/>
    <w:rsid w:val="007433B6"/>
    <w:rsid w:val="007531C2"/>
    <w:rsid w:val="00763AF2"/>
    <w:rsid w:val="007651B8"/>
    <w:rsid w:val="007C0700"/>
    <w:rsid w:val="007C220B"/>
    <w:rsid w:val="007C739E"/>
    <w:rsid w:val="008228DB"/>
    <w:rsid w:val="00832B51"/>
    <w:rsid w:val="00846D33"/>
    <w:rsid w:val="00891835"/>
    <w:rsid w:val="008C347B"/>
    <w:rsid w:val="009044C9"/>
    <w:rsid w:val="0091118A"/>
    <w:rsid w:val="00917D21"/>
    <w:rsid w:val="00927469"/>
    <w:rsid w:val="0097233E"/>
    <w:rsid w:val="00984AF9"/>
    <w:rsid w:val="009B3492"/>
    <w:rsid w:val="009C3904"/>
    <w:rsid w:val="009F7E33"/>
    <w:rsid w:val="00A03F9F"/>
    <w:rsid w:val="00A17C71"/>
    <w:rsid w:val="00A3157B"/>
    <w:rsid w:val="00A3734D"/>
    <w:rsid w:val="00AC22B5"/>
    <w:rsid w:val="00B10BCF"/>
    <w:rsid w:val="00B20608"/>
    <w:rsid w:val="00B3584C"/>
    <w:rsid w:val="00B3584E"/>
    <w:rsid w:val="00B37321"/>
    <w:rsid w:val="00B452FF"/>
    <w:rsid w:val="00B664EE"/>
    <w:rsid w:val="00B955E9"/>
    <w:rsid w:val="00BC0D92"/>
    <w:rsid w:val="00BF3F2D"/>
    <w:rsid w:val="00C121D4"/>
    <w:rsid w:val="00C2604B"/>
    <w:rsid w:val="00C56727"/>
    <w:rsid w:val="00C85CAE"/>
    <w:rsid w:val="00CA2B8D"/>
    <w:rsid w:val="00CD77E5"/>
    <w:rsid w:val="00CF2A4E"/>
    <w:rsid w:val="00D25896"/>
    <w:rsid w:val="00D600EB"/>
    <w:rsid w:val="00D62548"/>
    <w:rsid w:val="00D92FE0"/>
    <w:rsid w:val="00DB5A81"/>
    <w:rsid w:val="00DE1F85"/>
    <w:rsid w:val="00DE20D9"/>
    <w:rsid w:val="00DE51FE"/>
    <w:rsid w:val="00DF25D9"/>
    <w:rsid w:val="00E04DCB"/>
    <w:rsid w:val="00E05920"/>
    <w:rsid w:val="00E123BD"/>
    <w:rsid w:val="00E16E37"/>
    <w:rsid w:val="00E17118"/>
    <w:rsid w:val="00E446CC"/>
    <w:rsid w:val="00E51898"/>
    <w:rsid w:val="00E54BE8"/>
    <w:rsid w:val="00E85E6E"/>
    <w:rsid w:val="00E86E0A"/>
    <w:rsid w:val="00EA0E87"/>
    <w:rsid w:val="00EA6BE6"/>
    <w:rsid w:val="00EB676B"/>
    <w:rsid w:val="00EE33CF"/>
    <w:rsid w:val="00EF1DCD"/>
    <w:rsid w:val="00F16051"/>
    <w:rsid w:val="00F37AD9"/>
    <w:rsid w:val="00F604C4"/>
    <w:rsid w:val="00F93722"/>
    <w:rsid w:val="00FA1236"/>
    <w:rsid w:val="00FA1A0C"/>
    <w:rsid w:val="00FC27B3"/>
    <w:rsid w:val="00FC6CE8"/>
    <w:rsid w:val="00FD2BB6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09CFB"/>
  <w15:chartTrackingRefBased/>
  <w15:docId w15:val="{7AF4706A-B54F-45F7-8B9A-F4CE14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Times New Roman" w:hAnsi="Century Gothic" w:cs="Arial"/>
        <w:b/>
        <w:bCs/>
        <w:color w:val="595959"/>
        <w:sz w:val="40"/>
        <w:szCs w:val="40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Subtitle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opy"/>
    <w:qFormat/>
    <w:rsid w:val="006C6C4E"/>
    <w:pPr>
      <w:spacing w:before="230" w:line="230" w:lineRule="atLeast"/>
    </w:pPr>
    <w:rPr>
      <w:rFonts w:ascii="Myriad Pro" w:hAnsi="Myriad Pro"/>
      <w:b w:val="0"/>
      <w:sz w:val="20"/>
    </w:rPr>
  </w:style>
  <w:style w:type="paragraph" w:styleId="Heading1">
    <w:name w:val="heading 1"/>
    <w:aliases w:val="Title/Heading"/>
    <w:basedOn w:val="Normal"/>
    <w:next w:val="Normal"/>
    <w:qFormat/>
    <w:rsid w:val="00FC27B3"/>
    <w:pPr>
      <w:keepNext/>
      <w:spacing w:before="0" w:line="240" w:lineRule="auto"/>
      <w:outlineLvl w:val="0"/>
    </w:pPr>
    <w:rPr>
      <w:rFonts w:ascii="Arial" w:hAnsi="Arial"/>
      <w:b/>
      <w:sz w:val="40"/>
      <w:szCs w:val="24"/>
      <w:lang w:eastAsia="en-US"/>
    </w:rPr>
  </w:style>
  <w:style w:type="paragraph" w:styleId="Heading2">
    <w:name w:val="heading 2"/>
    <w:basedOn w:val="Normal"/>
    <w:next w:val="Normal"/>
    <w:pPr>
      <w:keepNext/>
      <w:spacing w:line="220" w:lineRule="atLeast"/>
      <w:outlineLvl w:val="1"/>
    </w:pPr>
    <w:rPr>
      <w:b/>
      <w:color w:val="008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</w:pPr>
    <w:rPr>
      <w:noProof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StyleArial11ptAuto">
    <w:name w:val="Style Arial 11 pt Auto"/>
    <w:rPr>
      <w:rFonts w:ascii="Arial" w:hAnsi="Arial"/>
      <w:color w:val="auto"/>
      <w:sz w:val="20"/>
    </w:rPr>
  </w:style>
  <w:style w:type="paragraph" w:styleId="Date">
    <w:name w:val="Date"/>
    <w:basedOn w:val="Normal"/>
    <w:next w:val="Normal"/>
    <w:pPr>
      <w:spacing w:before="600" w:after="600"/>
    </w:pPr>
  </w:style>
  <w:style w:type="paragraph" w:customStyle="1" w:styleId="Address">
    <w:name w:val="Address"/>
    <w:basedOn w:val="Normal"/>
    <w:pPr>
      <w:spacing w:before="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spacing w:before="0" w:line="240" w:lineRule="auto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pPr>
      <w:spacing w:line="220" w:lineRule="atLeast"/>
    </w:pPr>
    <w:rPr>
      <w:color w:val="008080"/>
      <w:sz w:val="22"/>
    </w:rPr>
  </w:style>
  <w:style w:type="paragraph" w:styleId="BodyText2">
    <w:name w:val="Body Text 2"/>
    <w:basedOn w:val="Normal"/>
    <w:link w:val="BodyText2Char"/>
    <w:pPr>
      <w:spacing w:line="220" w:lineRule="atLeast"/>
      <w:jc w:val="both"/>
    </w:pPr>
    <w:rPr>
      <w:color w:val="00808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TTitle">
    <w:name w:val="TT Title"/>
    <w:basedOn w:val="Normal"/>
    <w:next w:val="Normal"/>
    <w:pPr>
      <w:spacing w:before="0" w:line="240" w:lineRule="auto"/>
      <w:jc w:val="center"/>
    </w:pPr>
    <w:rPr>
      <w:b/>
      <w:color w:val="000080"/>
      <w:sz w:val="4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link w:val="BodyText2"/>
    <w:rsid w:val="0042095B"/>
    <w:rPr>
      <w:rFonts w:ascii="Arial" w:hAnsi="Arial" w:cs="Arial"/>
      <w:color w:val="008080"/>
    </w:rPr>
  </w:style>
  <w:style w:type="paragraph" w:styleId="Subtitle">
    <w:name w:val="Subtitle"/>
    <w:basedOn w:val="Normal"/>
    <w:next w:val="Normal"/>
    <w:link w:val="SubtitleChar"/>
    <w:qFormat/>
    <w:rsid w:val="00FC27B3"/>
    <w:pPr>
      <w:numPr>
        <w:ilvl w:val="1"/>
      </w:numPr>
      <w:spacing w:after="160"/>
    </w:pPr>
    <w:rPr>
      <w:rFonts w:ascii="Arial" w:eastAsiaTheme="minorEastAsia" w:hAnsi="Arial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FC27B3"/>
    <w:rPr>
      <w:rFonts w:ascii="Arial" w:eastAsiaTheme="minorEastAsia" w:hAnsi="Arial" w:cstheme="minorBidi"/>
      <w:b w:val="0"/>
      <w:color w:val="5A5A5A" w:themeColor="text1" w:themeTint="A5"/>
      <w:spacing w:val="15"/>
      <w:sz w:val="28"/>
      <w:szCs w:val="22"/>
    </w:rPr>
  </w:style>
  <w:style w:type="character" w:customStyle="1" w:styleId="FooterChar">
    <w:name w:val="Footer Char"/>
    <w:basedOn w:val="DefaultParagraphFont"/>
    <w:link w:val="Footer"/>
    <w:rsid w:val="006C6C4E"/>
  </w:style>
  <w:style w:type="character" w:customStyle="1" w:styleId="HeaderChar">
    <w:name w:val="Header Char"/>
    <w:basedOn w:val="DefaultParagraphFont"/>
    <w:link w:val="Header"/>
    <w:uiPriority w:val="99"/>
    <w:rsid w:val="006C6C4E"/>
    <w:rPr>
      <w:noProof/>
    </w:rPr>
  </w:style>
  <w:style w:type="paragraph" w:styleId="Title">
    <w:name w:val="Title"/>
    <w:basedOn w:val="Normal"/>
    <w:next w:val="Normal"/>
    <w:link w:val="TitleChar"/>
    <w:rsid w:val="006C6C4E"/>
    <w:pPr>
      <w:spacing w:before="0" w:line="240" w:lineRule="auto"/>
      <w:contextualSpacing/>
    </w:pPr>
    <w:rPr>
      <w:rFonts w:ascii="Century Gothic" w:eastAsiaTheme="majorEastAsia" w:hAnsi="Century Gothic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C6C4E"/>
    <w:rPr>
      <w:rFonts w:eastAsiaTheme="majorEastAsia" w:cstheme="majorBidi"/>
      <w:spacing w:val="-10"/>
      <w:kern w:val="28"/>
      <w:szCs w:val="56"/>
    </w:rPr>
  </w:style>
  <w:style w:type="paragraph" w:styleId="ListParagraph">
    <w:name w:val="List Paragraph"/>
    <w:basedOn w:val="Normal"/>
    <w:uiPriority w:val="34"/>
    <w:qFormat/>
    <w:rsid w:val="001501C4"/>
    <w:pPr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character" w:styleId="FootnoteReference">
    <w:name w:val="footnote reference"/>
    <w:basedOn w:val="DefaultParagraphFont"/>
    <w:unhideWhenUsed/>
    <w:rsid w:val="001501C4"/>
    <w:rPr>
      <w:vertAlign w:val="superscript"/>
    </w:rPr>
  </w:style>
  <w:style w:type="table" w:styleId="TableGrid">
    <w:name w:val="Table Grid"/>
    <w:basedOn w:val="TableNormal"/>
    <w:uiPriority w:val="39"/>
    <w:rsid w:val="001501C4"/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679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E6791"/>
    <w:pPr>
      <w:spacing w:before="230"/>
    </w:pPr>
    <w:rPr>
      <w:rFonts w:ascii="Myriad Pro" w:hAnsi="Myriad Pro"/>
      <w:b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E6791"/>
    <w:rPr>
      <w:rFonts w:ascii="Times New Roman" w:hAnsi="Times New Roman"/>
      <w:b w:val="0"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6E6791"/>
    <w:rPr>
      <w:rFonts w:ascii="Myriad Pro" w:hAnsi="Myriad Pro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k0Q7Po_aRCo&amp;list=PL6gGtLyXoeq-FMWk00AlcIPo3fhGmi03D&amp;index=8&amp;t=4s" TargetMode="External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government/uploads/system/uploads/attachment_data/file/897805/Maths_guidance_year_6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teaching-mathematics-in-primary-school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teaching-mathematics-in-primary-school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etm.org.uk/classroom-resources/exemplification-of-ready-to-progress-criteria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AF5EC72D8DB4BBD68844986FCC4F3" ma:contentTypeVersion="10" ma:contentTypeDescription="Create a new document." ma:contentTypeScope="" ma:versionID="56daa28109d0c9ebe9cc30e7b0cf1625">
  <xsd:schema xmlns:xsd="http://www.w3.org/2001/XMLSchema" xmlns:xs="http://www.w3.org/2001/XMLSchema" xmlns:p="http://schemas.microsoft.com/office/2006/metadata/properties" xmlns:ns3="4682f752-cf74-438a-bebb-9c890ba775ba" targetNamespace="http://schemas.microsoft.com/office/2006/metadata/properties" ma:root="true" ma:fieldsID="f23371f4aef352ff593220449162b12d" ns3:_="">
    <xsd:import namespace="4682f752-cf74-438a-bebb-9c890ba77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2f752-cf74-438a-bebb-9c890ba77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FBF13-BCA8-4534-8380-8ABE12FEF1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46326-ED3C-4FBA-B008-AE4BCEF19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2f752-cf74-438a-bebb-9c890ba7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3F4B9-795C-4283-82C0-0CEB7C315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Cursor Here To Add Recipient' Name</vt:lpstr>
    </vt:vector>
  </TitlesOfParts>
  <Company>Tribal Technology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Cursor Here To Add Recipient' Name</dc:title>
  <dc:subject/>
  <dc:creator>Ben Adey</dc:creator>
  <cp:keywords/>
  <cp:lastModifiedBy>Gwen Tresidder</cp:lastModifiedBy>
  <cp:revision>11</cp:revision>
  <cp:lastPrinted>2006-10-20T09:58:00Z</cp:lastPrinted>
  <dcterms:created xsi:type="dcterms:W3CDTF">2020-08-27T15:43:00Z</dcterms:created>
  <dcterms:modified xsi:type="dcterms:W3CDTF">2020-09-01T12:34:00Z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0x010100B74AF5EC72D8DB4BBD68844986FCC4F3</vt:lpwstr>
  </property>
</Properties>
</file>